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F3A5BD">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w:t>
      </w:r>
    </w:p>
    <w:p w14:paraId="246DB1B1">
      <w:pPr>
        <w:jc w:val="center"/>
        <w:rPr>
          <w:rFonts w:hint="eastAsia" w:ascii="仿宋_GB2312" w:hAnsi="仿宋_GB2312" w:eastAsia="仿宋_GB2312" w:cs="仿宋_GB2312"/>
          <w:sz w:val="44"/>
          <w:szCs w:val="44"/>
        </w:rPr>
      </w:pPr>
      <w:r>
        <w:rPr>
          <w:rFonts w:hint="eastAsia" w:ascii="方正小标宋简体" w:hAnsi="方正小标宋简体" w:eastAsia="方正小标宋简体" w:cs="方正小标宋简体"/>
          <w:sz w:val="44"/>
          <w:szCs w:val="44"/>
        </w:rPr>
        <w:t>教学单位第一轮评估专家核查重点</w:t>
      </w:r>
    </w:p>
    <w:tbl>
      <w:tblPr>
        <w:tblStyle w:val="5"/>
        <w:tblW w:w="495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3"/>
        <w:gridCol w:w="1320"/>
        <w:gridCol w:w="2042"/>
        <w:gridCol w:w="9326"/>
      </w:tblGrid>
      <w:tr w14:paraId="59415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blHeader/>
          <w:jc w:val="center"/>
        </w:trPr>
        <w:tc>
          <w:tcPr>
            <w:tcW w:w="482" w:type="pct"/>
            <w:vAlign w:val="center"/>
          </w:tcPr>
          <w:p w14:paraId="1C5BC69F">
            <w:pPr>
              <w:jc w:val="center"/>
              <w:rPr>
                <w:rFonts w:hint="eastAsia" w:ascii="黑体" w:hAnsi="黑体" w:eastAsia="黑体" w:cs="黑体"/>
                <w:b/>
                <w:szCs w:val="21"/>
              </w:rPr>
            </w:pPr>
            <w:r>
              <w:rPr>
                <w:rFonts w:hint="eastAsia" w:ascii="黑体" w:hAnsi="黑体" w:eastAsia="黑体" w:cs="黑体"/>
                <w:b/>
                <w:szCs w:val="21"/>
              </w:rPr>
              <w:t>一级指标</w:t>
            </w:r>
          </w:p>
        </w:tc>
        <w:tc>
          <w:tcPr>
            <w:tcW w:w="470" w:type="pct"/>
            <w:vAlign w:val="center"/>
          </w:tcPr>
          <w:p w14:paraId="07DF87E6">
            <w:pPr>
              <w:jc w:val="center"/>
              <w:rPr>
                <w:rFonts w:hint="eastAsia" w:ascii="黑体" w:hAnsi="黑体" w:eastAsia="黑体" w:cs="黑体"/>
                <w:b/>
                <w:szCs w:val="21"/>
              </w:rPr>
            </w:pPr>
            <w:r>
              <w:rPr>
                <w:rFonts w:hint="eastAsia" w:ascii="黑体" w:hAnsi="黑体" w:eastAsia="黑体" w:cs="黑体"/>
                <w:b/>
                <w:szCs w:val="21"/>
              </w:rPr>
              <w:t>二级指标</w:t>
            </w:r>
          </w:p>
        </w:tc>
        <w:tc>
          <w:tcPr>
            <w:tcW w:w="727" w:type="pct"/>
            <w:vAlign w:val="center"/>
          </w:tcPr>
          <w:p w14:paraId="256D36A2">
            <w:pPr>
              <w:jc w:val="center"/>
              <w:rPr>
                <w:rFonts w:hint="eastAsia" w:ascii="黑体" w:hAnsi="黑体" w:eastAsia="黑体" w:cs="黑体"/>
                <w:b/>
                <w:szCs w:val="21"/>
              </w:rPr>
            </w:pPr>
            <w:r>
              <w:rPr>
                <w:rFonts w:hint="eastAsia" w:ascii="黑体" w:hAnsi="黑体" w:eastAsia="黑体" w:cs="黑体"/>
                <w:b/>
                <w:szCs w:val="21"/>
              </w:rPr>
              <w:t>审核重点</w:t>
            </w:r>
          </w:p>
        </w:tc>
        <w:tc>
          <w:tcPr>
            <w:tcW w:w="3321" w:type="pct"/>
            <w:vAlign w:val="center"/>
          </w:tcPr>
          <w:p w14:paraId="2D985D8C">
            <w:pPr>
              <w:jc w:val="center"/>
              <w:rPr>
                <w:rFonts w:hint="eastAsia" w:ascii="黑体" w:hAnsi="黑体" w:eastAsia="黑体" w:cs="黑体"/>
                <w:b/>
                <w:szCs w:val="21"/>
              </w:rPr>
            </w:pPr>
            <w:r>
              <w:rPr>
                <w:rFonts w:hint="eastAsia" w:ascii="黑体" w:hAnsi="黑体" w:eastAsia="黑体" w:cs="黑体"/>
                <w:b/>
                <w:szCs w:val="21"/>
              </w:rPr>
              <w:t>专家核查重点</w:t>
            </w:r>
          </w:p>
        </w:tc>
      </w:tr>
      <w:tr w14:paraId="58624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82" w:type="pct"/>
            <w:vMerge w:val="restart"/>
            <w:vAlign w:val="center"/>
          </w:tcPr>
          <w:p w14:paraId="3BC6F1AA">
            <w:pPr>
              <w:rPr>
                <w:rFonts w:hint="eastAsia" w:ascii="仿宋_GB2312" w:hAnsi="仿宋_GB2312" w:eastAsia="仿宋_GB2312" w:cs="仿宋_GB2312"/>
                <w:szCs w:val="21"/>
              </w:rPr>
            </w:pPr>
            <w:r>
              <w:rPr>
                <w:rFonts w:hint="eastAsia" w:ascii="仿宋_GB2312" w:hAnsi="仿宋_GB2312" w:eastAsia="仿宋_GB2312" w:cs="仿宋_GB2312"/>
                <w:szCs w:val="21"/>
              </w:rPr>
              <w:t>1.党的领导</w:t>
            </w:r>
          </w:p>
        </w:tc>
        <w:tc>
          <w:tcPr>
            <w:tcW w:w="470" w:type="pct"/>
            <w:vMerge w:val="restart"/>
            <w:vAlign w:val="center"/>
          </w:tcPr>
          <w:p w14:paraId="5A31D043">
            <w:pPr>
              <w:rPr>
                <w:rFonts w:hint="eastAsia" w:ascii="仿宋_GB2312" w:hAnsi="仿宋_GB2312" w:eastAsia="仿宋_GB2312" w:cs="仿宋_GB2312"/>
                <w:szCs w:val="21"/>
              </w:rPr>
            </w:pPr>
            <w:r>
              <w:rPr>
                <w:rFonts w:hint="eastAsia" w:ascii="仿宋_GB2312" w:hAnsi="仿宋_GB2312" w:eastAsia="仿宋_GB2312" w:cs="仿宋_GB2312"/>
                <w:szCs w:val="21"/>
              </w:rPr>
              <w:t>1.1 党的全面领导和社会主义办学方向</w:t>
            </w:r>
          </w:p>
        </w:tc>
        <w:tc>
          <w:tcPr>
            <w:tcW w:w="727" w:type="pct"/>
            <w:vAlign w:val="center"/>
          </w:tcPr>
          <w:p w14:paraId="440F7B72">
            <w:pPr>
              <w:rPr>
                <w:rFonts w:hint="eastAsia" w:ascii="仿宋_GB2312" w:hAnsi="仿宋_GB2312" w:eastAsia="仿宋_GB2312" w:cs="仿宋_GB2312"/>
                <w:szCs w:val="21"/>
              </w:rPr>
            </w:pPr>
            <w:r>
              <w:rPr>
                <w:rFonts w:hint="eastAsia" w:ascii="仿宋_GB2312" w:hAnsi="仿宋_GB2312" w:eastAsia="仿宋_GB2312" w:cs="仿宋_GB2312"/>
                <w:szCs w:val="21"/>
              </w:rPr>
              <w:t>1.1.1 学校坚持党的全面领导，依法治教、依法办学、依法治校，围绕国家重大战略需求培养担当民族复兴大任的时代新人情况</w:t>
            </w:r>
          </w:p>
        </w:tc>
        <w:tc>
          <w:tcPr>
            <w:tcW w:w="3321" w:type="pct"/>
            <w:vAlign w:val="center"/>
          </w:tcPr>
          <w:p w14:paraId="12CFAD65">
            <w:pPr>
              <w:rPr>
                <w:rFonts w:hint="eastAsia" w:ascii="仿宋_GB2312" w:hAnsi="仿宋_GB2312" w:eastAsia="仿宋_GB2312" w:cs="仿宋_GB2312"/>
                <w:szCs w:val="21"/>
              </w:rPr>
            </w:pPr>
            <w:r>
              <w:rPr>
                <w:rFonts w:hint="eastAsia" w:ascii="仿宋_GB2312" w:hAnsi="仿宋_GB2312" w:eastAsia="仿宋_GB2312" w:cs="仿宋_GB2312"/>
                <w:szCs w:val="21"/>
              </w:rPr>
              <w:t>1.学院是否坚持社会主义办学方向、贯彻落实立德树人根本任务、把立德树人成效作为检验学院一切工作的根本标准。</w:t>
            </w:r>
          </w:p>
          <w:p w14:paraId="6F352B15">
            <w:pPr>
              <w:rPr>
                <w:rFonts w:hint="eastAsia" w:ascii="仿宋_GB2312" w:hAnsi="仿宋_GB2312" w:eastAsia="仿宋_GB2312" w:cs="仿宋_GB2312"/>
                <w:szCs w:val="21"/>
              </w:rPr>
            </w:pPr>
            <w:r>
              <w:rPr>
                <w:rFonts w:hint="eastAsia" w:ascii="仿宋_GB2312" w:hAnsi="仿宋_GB2312" w:eastAsia="仿宋_GB2312" w:cs="仿宋_GB2312"/>
                <w:szCs w:val="21"/>
              </w:rPr>
              <w:t>2.学院夯实人才培养中心地位，基层党组织在人才培养过程中发挥的作用是否明显。基层支部的责任和工作举措是否贯彻人才培养中心地位。</w:t>
            </w:r>
          </w:p>
          <w:p w14:paraId="24511A73">
            <w:pPr>
              <w:rPr>
                <w:rFonts w:hint="eastAsia" w:ascii="仿宋_GB2312" w:hAnsi="仿宋_GB2312" w:eastAsia="仿宋_GB2312" w:cs="仿宋_GB2312"/>
                <w:szCs w:val="21"/>
              </w:rPr>
            </w:pPr>
            <w:r>
              <w:rPr>
                <w:rFonts w:hint="eastAsia" w:ascii="仿宋_GB2312" w:hAnsi="仿宋_GB2312" w:eastAsia="仿宋_GB2312" w:cs="仿宋_GB2312"/>
                <w:szCs w:val="21"/>
              </w:rPr>
              <w:t>3.基层党组织建设与人才培养要互相融合、促进。基层党组织发展要推动改革发展，与教学、科研团队一体化发展。</w:t>
            </w:r>
          </w:p>
          <w:p w14:paraId="4C2FCD1A">
            <w:pPr>
              <w:rPr>
                <w:rFonts w:hint="eastAsia" w:ascii="仿宋_GB2312" w:hAnsi="仿宋_GB2312" w:eastAsia="仿宋_GB2312" w:cs="仿宋_GB2312"/>
                <w:szCs w:val="21"/>
              </w:rPr>
            </w:pPr>
            <w:r>
              <w:rPr>
                <w:rFonts w:hint="eastAsia" w:ascii="仿宋_GB2312" w:hAnsi="仿宋_GB2312" w:eastAsia="仿宋_GB2312" w:cs="仿宋_GB2312"/>
                <w:szCs w:val="21"/>
              </w:rPr>
              <w:t>4.学院深入学习贯彻落实习近平总书记关于教育、科技、人才的重要论述，党中央关于加快建设教育强国的重大决策部署，结合单位实际贯彻落实。</w:t>
            </w:r>
          </w:p>
        </w:tc>
      </w:tr>
      <w:tr w14:paraId="4895F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4" w:hRule="atLeast"/>
          <w:jc w:val="center"/>
        </w:trPr>
        <w:tc>
          <w:tcPr>
            <w:tcW w:w="482" w:type="pct"/>
            <w:vMerge w:val="continue"/>
            <w:vAlign w:val="center"/>
          </w:tcPr>
          <w:p w14:paraId="6C86BA08">
            <w:pPr>
              <w:rPr>
                <w:rFonts w:hint="eastAsia" w:ascii="仿宋_GB2312" w:hAnsi="仿宋_GB2312" w:eastAsia="仿宋_GB2312" w:cs="仿宋_GB2312"/>
                <w:szCs w:val="21"/>
              </w:rPr>
            </w:pPr>
          </w:p>
        </w:tc>
        <w:tc>
          <w:tcPr>
            <w:tcW w:w="470" w:type="pct"/>
            <w:vMerge w:val="continue"/>
            <w:vAlign w:val="center"/>
          </w:tcPr>
          <w:p w14:paraId="079BB394">
            <w:pPr>
              <w:rPr>
                <w:rFonts w:hint="eastAsia" w:ascii="仿宋_GB2312" w:hAnsi="仿宋_GB2312" w:eastAsia="仿宋_GB2312" w:cs="仿宋_GB2312"/>
                <w:szCs w:val="21"/>
              </w:rPr>
            </w:pPr>
          </w:p>
        </w:tc>
        <w:tc>
          <w:tcPr>
            <w:tcW w:w="727" w:type="pct"/>
            <w:vAlign w:val="center"/>
          </w:tcPr>
          <w:p w14:paraId="7B44F32D">
            <w:pPr>
              <w:rPr>
                <w:rFonts w:hint="eastAsia" w:ascii="仿宋_GB2312" w:hAnsi="仿宋_GB2312" w:eastAsia="仿宋_GB2312" w:cs="仿宋_GB2312"/>
                <w:szCs w:val="21"/>
              </w:rPr>
            </w:pPr>
            <w:r>
              <w:rPr>
                <w:rFonts w:hint="eastAsia" w:ascii="仿宋_GB2312" w:hAnsi="仿宋_GB2312" w:eastAsia="仿宋_GB2312" w:cs="仿宋_GB2312"/>
                <w:szCs w:val="21"/>
              </w:rPr>
              <w:t>1.1.2 学校坚持社会主义办学方向、贯彻落实立德树人根本任务、把立德树人成效作为检验学校一切工作的根本标准情况</w:t>
            </w:r>
          </w:p>
        </w:tc>
        <w:tc>
          <w:tcPr>
            <w:tcW w:w="3321" w:type="pct"/>
            <w:vAlign w:val="center"/>
          </w:tcPr>
          <w:p w14:paraId="7F726622">
            <w:pPr>
              <w:rPr>
                <w:rFonts w:hint="eastAsia" w:ascii="仿宋_GB2312" w:hAnsi="仿宋_GB2312" w:eastAsia="仿宋_GB2312" w:cs="仿宋_GB2312"/>
                <w:szCs w:val="21"/>
              </w:rPr>
            </w:pPr>
            <w:r>
              <w:rPr>
                <w:rFonts w:hint="eastAsia" w:ascii="仿宋_GB2312" w:hAnsi="仿宋_GB2312" w:eastAsia="仿宋_GB2312" w:cs="仿宋_GB2312"/>
                <w:szCs w:val="21"/>
              </w:rPr>
              <w:t>1.学院办学定位及确定依据，办学定位应与学校定位吻合，应适应经济和社会发展需要，符合学院自身发展实际，符合学科、专业的特色、特点。</w:t>
            </w:r>
          </w:p>
          <w:p w14:paraId="59405BFD">
            <w:pPr>
              <w:rPr>
                <w:rFonts w:hint="eastAsia" w:ascii="仿宋_GB2312" w:hAnsi="仿宋_GB2312" w:eastAsia="仿宋_GB2312" w:cs="仿宋_GB2312"/>
                <w:szCs w:val="21"/>
              </w:rPr>
            </w:pPr>
            <w:r>
              <w:rPr>
                <w:rFonts w:hint="eastAsia" w:ascii="仿宋_GB2312" w:hAnsi="仿宋_GB2312" w:eastAsia="仿宋_GB2312" w:cs="仿宋_GB2312"/>
                <w:szCs w:val="21"/>
              </w:rPr>
              <w:t>2.办学定位在学院发展规划中的体现，定位目标等应在学院的各类发展规划等文件中有明确的表述。</w:t>
            </w:r>
          </w:p>
          <w:p w14:paraId="3135C1F1">
            <w:pPr>
              <w:rPr>
                <w:rFonts w:hint="eastAsia" w:ascii="仿宋_GB2312" w:hAnsi="仿宋_GB2312" w:eastAsia="仿宋_GB2312" w:cs="仿宋_GB2312"/>
                <w:szCs w:val="21"/>
              </w:rPr>
            </w:pPr>
            <w:r>
              <w:rPr>
                <w:rFonts w:hint="eastAsia" w:ascii="仿宋_GB2312" w:hAnsi="仿宋_GB2312" w:eastAsia="仿宋_GB2312" w:cs="仿宋_GB2312"/>
                <w:szCs w:val="21"/>
              </w:rPr>
              <w:t>3.办学定位制定过程要通过广泛地讨论，集师生员工集体的智慧，经过党政联席会、学术和教学委员会会议审议确定，并报学校发展规划与学科建设处组织专家审议。</w:t>
            </w:r>
          </w:p>
          <w:p w14:paraId="68DDD448">
            <w:pPr>
              <w:rPr>
                <w:rFonts w:hint="eastAsia" w:ascii="仿宋_GB2312" w:hAnsi="仿宋_GB2312" w:eastAsia="仿宋_GB2312" w:cs="仿宋_GB2312"/>
                <w:szCs w:val="21"/>
              </w:rPr>
            </w:pPr>
            <w:r>
              <w:rPr>
                <w:rFonts w:hint="eastAsia" w:ascii="仿宋_GB2312" w:hAnsi="仿宋_GB2312" w:eastAsia="仿宋_GB2312" w:cs="仿宋_GB2312"/>
                <w:szCs w:val="21"/>
              </w:rPr>
              <w:t>4.培养目标应包含学院人才培养目标、专业培养目标两个层面，本科人才培养目标是对学院所有专业的培养目标总的概括，是整体情况。培养目标制定过程要通过广泛地讨论，集师生员工集体的智慧，经过党政联席会、学术和教学委员会审议确定，并报教务处组织专家审议。</w:t>
            </w:r>
          </w:p>
          <w:p w14:paraId="068B352D">
            <w:pPr>
              <w:rPr>
                <w:rFonts w:hint="eastAsia" w:ascii="仿宋_GB2312" w:hAnsi="仿宋_GB2312" w:eastAsia="仿宋_GB2312" w:cs="仿宋_GB2312"/>
                <w:szCs w:val="21"/>
              </w:rPr>
            </w:pPr>
            <w:r>
              <w:rPr>
                <w:rFonts w:hint="eastAsia" w:ascii="仿宋_GB2312" w:hAnsi="仿宋_GB2312" w:eastAsia="仿宋_GB2312" w:cs="仿宋_GB2312"/>
                <w:szCs w:val="21"/>
              </w:rPr>
              <w:t>5.学院的人才培养目标要在学校的总体框架下，在保证学校主体培养目标不变的前提下制定。</w:t>
            </w:r>
          </w:p>
          <w:p w14:paraId="371E4EEA">
            <w:pPr>
              <w:rPr>
                <w:rFonts w:hint="eastAsia" w:ascii="仿宋_GB2312" w:hAnsi="仿宋_GB2312" w:eastAsia="仿宋_GB2312" w:cs="仿宋_GB2312"/>
                <w:szCs w:val="21"/>
              </w:rPr>
            </w:pPr>
            <w:r>
              <w:rPr>
                <w:rFonts w:hint="eastAsia" w:ascii="仿宋_GB2312" w:hAnsi="仿宋_GB2312" w:eastAsia="仿宋_GB2312" w:cs="仿宋_GB2312"/>
                <w:szCs w:val="21"/>
              </w:rPr>
              <w:t>6.专业培养目标要与学院办学定位及人才培养目标相符合，与国家、社会及学生的要求与期望相符合。要包括人才培养的总目标、学生毕业时的毕业要求、并能反映学生毕业五年后在社会与专业领域的预期发展。</w:t>
            </w:r>
          </w:p>
        </w:tc>
      </w:tr>
      <w:tr w14:paraId="38265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 w:type="pct"/>
            <w:vMerge w:val="restart"/>
            <w:vAlign w:val="center"/>
          </w:tcPr>
          <w:p w14:paraId="14C5F1A1">
            <w:pPr>
              <w:rPr>
                <w:rFonts w:hint="eastAsia" w:ascii="仿宋_GB2312" w:hAnsi="仿宋_GB2312" w:eastAsia="仿宋_GB2312" w:cs="仿宋_GB2312"/>
                <w:szCs w:val="21"/>
              </w:rPr>
            </w:pPr>
            <w:r>
              <w:rPr>
                <w:rFonts w:hint="eastAsia" w:ascii="仿宋_GB2312" w:hAnsi="仿宋_GB2312" w:eastAsia="仿宋_GB2312" w:cs="仿宋_GB2312"/>
                <w:szCs w:val="21"/>
              </w:rPr>
              <w:t>2.质量保障能力</w:t>
            </w:r>
          </w:p>
        </w:tc>
        <w:tc>
          <w:tcPr>
            <w:tcW w:w="470" w:type="pct"/>
            <w:vMerge w:val="restart"/>
            <w:vAlign w:val="center"/>
          </w:tcPr>
          <w:p w14:paraId="08D37B6B">
            <w:pPr>
              <w:rPr>
                <w:rFonts w:hint="eastAsia" w:ascii="仿宋_GB2312" w:hAnsi="仿宋_GB2312" w:eastAsia="仿宋_GB2312" w:cs="仿宋_GB2312"/>
                <w:szCs w:val="21"/>
              </w:rPr>
            </w:pPr>
            <w:r>
              <w:rPr>
                <w:rFonts w:hint="eastAsia" w:ascii="仿宋_GB2312" w:hAnsi="仿宋_GB2312" w:eastAsia="仿宋_GB2312" w:cs="仿宋_GB2312"/>
                <w:szCs w:val="21"/>
              </w:rPr>
              <w:t>2.1 质保理念</w:t>
            </w:r>
          </w:p>
        </w:tc>
        <w:tc>
          <w:tcPr>
            <w:tcW w:w="727" w:type="pct"/>
            <w:vAlign w:val="center"/>
          </w:tcPr>
          <w:p w14:paraId="343267C0">
            <w:pPr>
              <w:rPr>
                <w:rFonts w:hint="eastAsia" w:ascii="仿宋_GB2312" w:hAnsi="仿宋_GB2312" w:eastAsia="仿宋_GB2312" w:cs="仿宋_GB2312"/>
                <w:szCs w:val="21"/>
              </w:rPr>
            </w:pPr>
            <w:r>
              <w:rPr>
                <w:rFonts w:hint="eastAsia" w:ascii="仿宋_GB2312" w:hAnsi="仿宋_GB2312" w:eastAsia="仿宋_GB2312" w:cs="仿宋_GB2312"/>
                <w:szCs w:val="21"/>
              </w:rPr>
              <w:t>2.1.1 质量保障理念及其先进性</w:t>
            </w:r>
          </w:p>
        </w:tc>
        <w:tc>
          <w:tcPr>
            <w:tcW w:w="3321" w:type="pct"/>
            <w:vAlign w:val="center"/>
          </w:tcPr>
          <w:p w14:paraId="25F4A2B3">
            <w:pPr>
              <w:rPr>
                <w:rFonts w:hint="eastAsia" w:ascii="仿宋_GB2312" w:hAnsi="仿宋_GB2312" w:eastAsia="仿宋_GB2312" w:cs="仿宋_GB2312"/>
                <w:szCs w:val="21"/>
              </w:rPr>
            </w:pPr>
            <w:r>
              <w:rPr>
                <w:rFonts w:hint="eastAsia" w:ascii="仿宋_GB2312" w:hAnsi="仿宋_GB2312" w:eastAsia="仿宋_GB2312" w:cs="仿宋_GB2312"/>
                <w:szCs w:val="21"/>
              </w:rPr>
              <w:t>1.学院质量保障体系是否完善，是否有评价改进机制，并形成教学质量管理闭环。</w:t>
            </w:r>
          </w:p>
        </w:tc>
      </w:tr>
      <w:tr w14:paraId="525D2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jc w:val="center"/>
        </w:trPr>
        <w:tc>
          <w:tcPr>
            <w:tcW w:w="482" w:type="pct"/>
            <w:vMerge w:val="continue"/>
            <w:vAlign w:val="center"/>
          </w:tcPr>
          <w:p w14:paraId="333026E4">
            <w:pPr>
              <w:rPr>
                <w:rFonts w:hint="eastAsia" w:ascii="仿宋_GB2312" w:hAnsi="仿宋_GB2312" w:eastAsia="仿宋_GB2312" w:cs="仿宋_GB2312"/>
                <w:szCs w:val="21"/>
              </w:rPr>
            </w:pPr>
          </w:p>
        </w:tc>
        <w:tc>
          <w:tcPr>
            <w:tcW w:w="470" w:type="pct"/>
            <w:vMerge w:val="continue"/>
            <w:vAlign w:val="center"/>
          </w:tcPr>
          <w:p w14:paraId="5950CC86">
            <w:pPr>
              <w:rPr>
                <w:rFonts w:hint="eastAsia" w:ascii="仿宋_GB2312" w:hAnsi="仿宋_GB2312" w:eastAsia="仿宋_GB2312" w:cs="仿宋_GB2312"/>
                <w:szCs w:val="21"/>
              </w:rPr>
            </w:pPr>
          </w:p>
        </w:tc>
        <w:tc>
          <w:tcPr>
            <w:tcW w:w="727" w:type="pct"/>
            <w:vAlign w:val="center"/>
          </w:tcPr>
          <w:p w14:paraId="0BC30667">
            <w:pPr>
              <w:rPr>
                <w:rFonts w:hint="eastAsia" w:ascii="仿宋_GB2312" w:hAnsi="仿宋_GB2312" w:eastAsia="仿宋_GB2312" w:cs="仿宋_GB2312"/>
                <w:szCs w:val="21"/>
              </w:rPr>
            </w:pPr>
            <w:r>
              <w:rPr>
                <w:rFonts w:hint="eastAsia" w:ascii="仿宋_GB2312" w:hAnsi="仿宋_GB2312" w:eastAsia="仿宋_GB2312" w:cs="仿宋_GB2312"/>
                <w:szCs w:val="21"/>
              </w:rPr>
              <w:t>2.1.2 质量保障理念在质量保障体系建立与运行以及质量文化形成中的作用</w:t>
            </w:r>
          </w:p>
        </w:tc>
        <w:tc>
          <w:tcPr>
            <w:tcW w:w="3321" w:type="pct"/>
            <w:vAlign w:val="center"/>
          </w:tcPr>
          <w:p w14:paraId="40B41EF8">
            <w:pPr>
              <w:rPr>
                <w:rFonts w:hint="eastAsia" w:ascii="仿宋_GB2312" w:hAnsi="仿宋_GB2312" w:eastAsia="仿宋_GB2312" w:cs="仿宋_GB2312"/>
                <w:szCs w:val="21"/>
              </w:rPr>
            </w:pPr>
            <w:r>
              <w:rPr>
                <w:rFonts w:hint="eastAsia" w:ascii="仿宋_GB2312" w:hAnsi="仿宋_GB2312" w:eastAsia="仿宋_GB2312" w:cs="仿宋_GB2312"/>
                <w:szCs w:val="21"/>
              </w:rPr>
              <w:t>1.质保理念在质量文化建设中是否能充分体现，质保理念在指导质量保障体系建立与运行中的作用如何，质量保障体系的协同联动机制是否建立，是否能够全员参与、多方协同，校督导、院督导、学院和专业是否能共同促进问题改进。</w:t>
            </w:r>
          </w:p>
          <w:p w14:paraId="1D914097">
            <w:pPr>
              <w:rPr>
                <w:rFonts w:hint="eastAsia" w:ascii="仿宋_GB2312" w:hAnsi="仿宋_GB2312" w:eastAsia="仿宋_GB2312" w:cs="仿宋_GB2312"/>
                <w:szCs w:val="21"/>
              </w:rPr>
            </w:pPr>
            <w:r>
              <w:rPr>
                <w:rFonts w:hint="eastAsia" w:ascii="仿宋_GB2312" w:hAnsi="仿宋_GB2312" w:eastAsia="仿宋_GB2312" w:cs="仿宋_GB2312"/>
                <w:szCs w:val="21"/>
              </w:rPr>
              <w:t>2.质保理念在执行上是否达到了效果。比如落实到课程基本单元，在课程质量达成度等方面执行的效果，是否符合 OBE。</w:t>
            </w:r>
          </w:p>
        </w:tc>
      </w:tr>
      <w:tr w14:paraId="2453B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482" w:type="pct"/>
            <w:vMerge w:val="continue"/>
            <w:vAlign w:val="center"/>
          </w:tcPr>
          <w:p w14:paraId="3A83403D">
            <w:pPr>
              <w:rPr>
                <w:rFonts w:hint="eastAsia" w:ascii="仿宋_GB2312" w:hAnsi="仿宋_GB2312" w:eastAsia="仿宋_GB2312" w:cs="仿宋_GB2312"/>
                <w:szCs w:val="21"/>
              </w:rPr>
            </w:pPr>
          </w:p>
        </w:tc>
        <w:tc>
          <w:tcPr>
            <w:tcW w:w="470" w:type="pct"/>
            <w:vMerge w:val="restart"/>
            <w:vAlign w:val="center"/>
          </w:tcPr>
          <w:p w14:paraId="5844377B">
            <w:pPr>
              <w:rPr>
                <w:rFonts w:hint="eastAsia" w:ascii="仿宋_GB2312" w:hAnsi="仿宋_GB2312" w:eastAsia="仿宋_GB2312" w:cs="仿宋_GB2312"/>
                <w:szCs w:val="21"/>
              </w:rPr>
            </w:pPr>
            <w:r>
              <w:rPr>
                <w:rFonts w:hint="eastAsia" w:ascii="仿宋_GB2312" w:hAnsi="仿宋_GB2312" w:eastAsia="仿宋_GB2312" w:cs="仿宋_GB2312"/>
                <w:szCs w:val="21"/>
              </w:rPr>
              <w:t>2.2 质量标准</w:t>
            </w:r>
          </w:p>
        </w:tc>
        <w:tc>
          <w:tcPr>
            <w:tcW w:w="727" w:type="pct"/>
            <w:vAlign w:val="center"/>
          </w:tcPr>
          <w:p w14:paraId="4C1142EC">
            <w:pPr>
              <w:rPr>
                <w:rFonts w:hint="eastAsia" w:ascii="仿宋_GB2312" w:hAnsi="仿宋_GB2312" w:eastAsia="仿宋_GB2312" w:cs="仿宋_GB2312"/>
                <w:szCs w:val="21"/>
              </w:rPr>
            </w:pPr>
            <w:r>
              <w:rPr>
                <w:rFonts w:hint="eastAsia" w:ascii="仿宋_GB2312" w:hAnsi="仿宋_GB2312" w:eastAsia="仿宋_GB2312" w:cs="仿宋_GB2312"/>
                <w:szCs w:val="21"/>
              </w:rPr>
              <w:t>2.2.1 依据国家相关标准，符合国家、社会及学生等利益相关者诉求的一流质量标准建设情况</w:t>
            </w:r>
          </w:p>
        </w:tc>
        <w:tc>
          <w:tcPr>
            <w:tcW w:w="3321" w:type="pct"/>
            <w:vAlign w:val="center"/>
          </w:tcPr>
          <w:p w14:paraId="68F74F72">
            <w:pPr>
              <w:rPr>
                <w:rFonts w:hint="eastAsia" w:ascii="仿宋_GB2312" w:hAnsi="仿宋_GB2312" w:eastAsia="仿宋_GB2312" w:cs="仿宋_GB2312"/>
                <w:szCs w:val="21"/>
              </w:rPr>
            </w:pPr>
            <w:r>
              <w:rPr>
                <w:rFonts w:hint="eastAsia" w:ascii="仿宋_GB2312" w:hAnsi="仿宋_GB2312" w:eastAsia="仿宋_GB2312" w:cs="仿宋_GB2312"/>
                <w:szCs w:val="21"/>
              </w:rPr>
              <w:t>1.学院是否严格遵守学校的教学各环节质量标准，是否有明确的落实机制和持续改进机制。</w:t>
            </w:r>
          </w:p>
        </w:tc>
      </w:tr>
      <w:tr w14:paraId="3509F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482" w:type="pct"/>
            <w:vMerge w:val="continue"/>
            <w:vAlign w:val="center"/>
          </w:tcPr>
          <w:p w14:paraId="5507794D">
            <w:pPr>
              <w:rPr>
                <w:rFonts w:hint="eastAsia" w:ascii="仿宋_GB2312" w:hAnsi="仿宋_GB2312" w:eastAsia="仿宋_GB2312" w:cs="仿宋_GB2312"/>
                <w:szCs w:val="21"/>
              </w:rPr>
            </w:pPr>
          </w:p>
        </w:tc>
        <w:tc>
          <w:tcPr>
            <w:tcW w:w="470" w:type="pct"/>
            <w:vMerge w:val="continue"/>
            <w:vAlign w:val="center"/>
          </w:tcPr>
          <w:p w14:paraId="1AC566C0">
            <w:pPr>
              <w:rPr>
                <w:rFonts w:hint="eastAsia" w:ascii="仿宋_GB2312" w:hAnsi="仿宋_GB2312" w:eastAsia="仿宋_GB2312" w:cs="仿宋_GB2312"/>
                <w:szCs w:val="21"/>
              </w:rPr>
            </w:pPr>
          </w:p>
        </w:tc>
        <w:tc>
          <w:tcPr>
            <w:tcW w:w="727" w:type="pct"/>
            <w:vAlign w:val="center"/>
          </w:tcPr>
          <w:p w14:paraId="22039D2F">
            <w:pPr>
              <w:rPr>
                <w:rFonts w:hint="eastAsia" w:ascii="仿宋_GB2312" w:hAnsi="仿宋_GB2312" w:eastAsia="仿宋_GB2312" w:cs="仿宋_GB2312"/>
                <w:szCs w:val="21"/>
              </w:rPr>
            </w:pPr>
            <w:r>
              <w:rPr>
                <w:rFonts w:hint="eastAsia" w:ascii="仿宋_GB2312" w:hAnsi="仿宋_GB2312" w:eastAsia="仿宋_GB2312" w:cs="仿宋_GB2312"/>
                <w:szCs w:val="21"/>
              </w:rPr>
              <w:t>2.2.2 各教学环节质量标准落实情况</w:t>
            </w:r>
          </w:p>
        </w:tc>
        <w:tc>
          <w:tcPr>
            <w:tcW w:w="3321" w:type="pct"/>
            <w:vAlign w:val="center"/>
          </w:tcPr>
          <w:p w14:paraId="333219F2">
            <w:pPr>
              <w:rPr>
                <w:rFonts w:hint="eastAsia" w:ascii="仿宋_GB2312" w:hAnsi="仿宋_GB2312" w:eastAsia="仿宋_GB2312" w:cs="仿宋_GB2312"/>
                <w:szCs w:val="21"/>
              </w:rPr>
            </w:pPr>
            <w:r>
              <w:rPr>
                <w:rFonts w:hint="eastAsia" w:ascii="仿宋_GB2312" w:hAnsi="仿宋_GB2312" w:eastAsia="仿宋_GB2312" w:cs="仿宋_GB2312"/>
                <w:szCs w:val="21"/>
              </w:rPr>
              <w:t>1.学院专业建设、课程建设、教学基本条件建设、实践教学等按照标准建设的情况。</w:t>
            </w:r>
          </w:p>
          <w:p w14:paraId="594C0E20">
            <w:pPr>
              <w:rPr>
                <w:rFonts w:hint="eastAsia" w:ascii="仿宋_GB2312" w:hAnsi="仿宋_GB2312" w:eastAsia="仿宋_GB2312" w:cs="仿宋_GB2312"/>
                <w:szCs w:val="21"/>
              </w:rPr>
            </w:pPr>
            <w:r>
              <w:rPr>
                <w:rFonts w:hint="eastAsia" w:ascii="仿宋_GB2312" w:hAnsi="仿宋_GB2312" w:eastAsia="仿宋_GB2312" w:cs="仿宋_GB2312"/>
                <w:szCs w:val="21"/>
              </w:rPr>
              <w:t>2.课堂教学、培养方案、教学大纲、毕业论文（设计）、试卷质量情况及整改情况，质量是否持续提升。</w:t>
            </w:r>
          </w:p>
        </w:tc>
      </w:tr>
      <w:tr w14:paraId="641BA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482" w:type="pct"/>
            <w:vMerge w:val="continue"/>
            <w:vAlign w:val="center"/>
          </w:tcPr>
          <w:p w14:paraId="07DA539B">
            <w:pPr>
              <w:rPr>
                <w:rFonts w:hint="eastAsia" w:ascii="仿宋_GB2312" w:hAnsi="仿宋_GB2312" w:eastAsia="仿宋_GB2312" w:cs="仿宋_GB2312"/>
                <w:szCs w:val="21"/>
              </w:rPr>
            </w:pPr>
          </w:p>
        </w:tc>
        <w:tc>
          <w:tcPr>
            <w:tcW w:w="470" w:type="pct"/>
            <w:vMerge w:val="restart"/>
            <w:vAlign w:val="center"/>
          </w:tcPr>
          <w:p w14:paraId="5DC60845">
            <w:pPr>
              <w:rPr>
                <w:rFonts w:hint="eastAsia" w:ascii="仿宋_GB2312" w:hAnsi="仿宋_GB2312" w:eastAsia="仿宋_GB2312" w:cs="仿宋_GB2312"/>
                <w:szCs w:val="21"/>
              </w:rPr>
            </w:pPr>
            <w:r>
              <w:rPr>
                <w:rFonts w:hint="eastAsia" w:ascii="仿宋_GB2312" w:hAnsi="仿宋_GB2312" w:eastAsia="仿宋_GB2312" w:cs="仿宋_GB2312"/>
                <w:szCs w:val="21"/>
              </w:rPr>
              <w:t>2.3 质保机制</w:t>
            </w:r>
          </w:p>
        </w:tc>
        <w:tc>
          <w:tcPr>
            <w:tcW w:w="727" w:type="pct"/>
            <w:vAlign w:val="center"/>
          </w:tcPr>
          <w:p w14:paraId="11382A4B">
            <w:pPr>
              <w:rPr>
                <w:rFonts w:hint="eastAsia" w:ascii="仿宋_GB2312" w:hAnsi="仿宋_GB2312" w:eastAsia="仿宋_GB2312" w:cs="仿宋_GB2312"/>
                <w:szCs w:val="21"/>
              </w:rPr>
            </w:pPr>
            <w:r>
              <w:rPr>
                <w:rFonts w:hint="eastAsia" w:ascii="仿宋_GB2312" w:hAnsi="仿宋_GB2312" w:eastAsia="仿宋_GB2312" w:cs="仿宋_GB2312"/>
                <w:szCs w:val="21"/>
              </w:rPr>
              <w:t>2.3.1 质量监控部门及其职责，质量监控队伍的数量、结构和人员素质情况</w:t>
            </w:r>
          </w:p>
        </w:tc>
        <w:tc>
          <w:tcPr>
            <w:tcW w:w="3321" w:type="pct"/>
            <w:vAlign w:val="center"/>
          </w:tcPr>
          <w:p w14:paraId="754D9534">
            <w:pPr>
              <w:rPr>
                <w:rFonts w:hint="eastAsia" w:ascii="仿宋_GB2312" w:hAnsi="仿宋_GB2312" w:eastAsia="仿宋_GB2312" w:cs="仿宋_GB2312"/>
                <w:szCs w:val="21"/>
              </w:rPr>
            </w:pPr>
            <w:r>
              <w:rPr>
                <w:rFonts w:hint="eastAsia" w:ascii="仿宋_GB2312" w:hAnsi="仿宋_GB2312" w:eastAsia="仿宋_GB2312" w:cs="仿宋_GB2312"/>
                <w:szCs w:val="21"/>
              </w:rPr>
              <w:t>1.学院是否建立了完善的学院-基层教学组织质量保障的队伍体系、组织体系、制度体系。质量监控队伍的数量、结构和人员素质是否合理，职责是否明确，管理是否有效。</w:t>
            </w:r>
          </w:p>
        </w:tc>
      </w:tr>
      <w:tr w14:paraId="6814B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9" w:hRule="atLeast"/>
          <w:jc w:val="center"/>
        </w:trPr>
        <w:tc>
          <w:tcPr>
            <w:tcW w:w="482" w:type="pct"/>
            <w:vMerge w:val="continue"/>
            <w:vAlign w:val="center"/>
          </w:tcPr>
          <w:p w14:paraId="3ABBF625">
            <w:pPr>
              <w:rPr>
                <w:rFonts w:hint="eastAsia" w:ascii="仿宋_GB2312" w:hAnsi="仿宋_GB2312" w:eastAsia="仿宋_GB2312" w:cs="仿宋_GB2312"/>
                <w:szCs w:val="21"/>
              </w:rPr>
            </w:pPr>
          </w:p>
        </w:tc>
        <w:tc>
          <w:tcPr>
            <w:tcW w:w="470" w:type="pct"/>
            <w:vMerge w:val="continue"/>
            <w:vAlign w:val="center"/>
          </w:tcPr>
          <w:p w14:paraId="57DEB3B2">
            <w:pPr>
              <w:rPr>
                <w:rFonts w:hint="eastAsia" w:ascii="仿宋_GB2312" w:hAnsi="仿宋_GB2312" w:eastAsia="仿宋_GB2312" w:cs="仿宋_GB2312"/>
                <w:szCs w:val="21"/>
              </w:rPr>
            </w:pPr>
          </w:p>
        </w:tc>
        <w:tc>
          <w:tcPr>
            <w:tcW w:w="727" w:type="pct"/>
            <w:vAlign w:val="center"/>
          </w:tcPr>
          <w:p w14:paraId="15A08DBB">
            <w:pPr>
              <w:rPr>
                <w:rFonts w:hint="eastAsia" w:ascii="仿宋_GB2312" w:hAnsi="仿宋_GB2312" w:eastAsia="仿宋_GB2312" w:cs="仿宋_GB2312"/>
                <w:szCs w:val="21"/>
              </w:rPr>
            </w:pPr>
            <w:r>
              <w:rPr>
                <w:rFonts w:hint="eastAsia" w:ascii="仿宋_GB2312" w:hAnsi="仿宋_GB2312" w:eastAsia="仿宋_GB2312" w:cs="仿宋_GB2312"/>
                <w:szCs w:val="21"/>
              </w:rPr>
              <w:t>2.3.2 自我评价机制、评价结果反馈机制、质量改进机制的建立与运行情况</w:t>
            </w:r>
          </w:p>
        </w:tc>
        <w:tc>
          <w:tcPr>
            <w:tcW w:w="3321" w:type="pct"/>
            <w:vAlign w:val="center"/>
          </w:tcPr>
          <w:p w14:paraId="15C9A486">
            <w:pPr>
              <w:rPr>
                <w:rFonts w:hint="eastAsia" w:ascii="仿宋_GB2312" w:hAnsi="仿宋_GB2312" w:eastAsia="仿宋_GB2312" w:cs="仿宋_GB2312"/>
                <w:szCs w:val="21"/>
              </w:rPr>
            </w:pPr>
            <w:r>
              <w:rPr>
                <w:rFonts w:hint="eastAsia" w:ascii="仿宋_GB2312" w:hAnsi="仿宋_GB2312" w:eastAsia="仿宋_GB2312" w:cs="仿宋_GB2312"/>
                <w:szCs w:val="21"/>
              </w:rPr>
              <w:t>1.学院是否建立了自我评价机制、评价结果反馈机制、持续改进机制。</w:t>
            </w:r>
          </w:p>
          <w:p w14:paraId="6EA93ED9">
            <w:pPr>
              <w:rPr>
                <w:rFonts w:hint="eastAsia" w:ascii="仿宋_GB2312" w:hAnsi="仿宋_GB2312" w:eastAsia="仿宋_GB2312" w:cs="仿宋_GB2312"/>
                <w:szCs w:val="21"/>
              </w:rPr>
            </w:pPr>
            <w:r>
              <w:rPr>
                <w:rFonts w:hint="eastAsia" w:ascii="仿宋_GB2312" w:hAnsi="仿宋_GB2312" w:eastAsia="仿宋_GB2312" w:cs="仿宋_GB2312"/>
                <w:szCs w:val="21"/>
              </w:rPr>
              <w:t>2.学院加强教学管理制度建设和质量监控，积极开展教学工作检查、监督等工作，能形成良好的质量反馈体系，有针对评价结果及时进行教学改进。</w:t>
            </w:r>
          </w:p>
          <w:p w14:paraId="322DC989">
            <w:pPr>
              <w:rPr>
                <w:rFonts w:hint="eastAsia" w:ascii="仿宋_GB2312" w:hAnsi="仿宋_GB2312" w:eastAsia="仿宋_GB2312" w:cs="仿宋_GB2312"/>
                <w:szCs w:val="21"/>
              </w:rPr>
            </w:pPr>
            <w:r>
              <w:rPr>
                <w:rFonts w:hint="eastAsia" w:ascii="仿宋_GB2312" w:hAnsi="仿宋_GB2312" w:eastAsia="仿宋_GB2312" w:cs="仿宋_GB2312"/>
                <w:szCs w:val="21"/>
              </w:rPr>
              <w:t>3.院级质量保障体系是否能够有效发挥作用。</w:t>
            </w:r>
          </w:p>
        </w:tc>
      </w:tr>
      <w:tr w14:paraId="5B43F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 w:type="pct"/>
            <w:vMerge w:val="continue"/>
            <w:vAlign w:val="center"/>
          </w:tcPr>
          <w:p w14:paraId="5B220787">
            <w:pPr>
              <w:rPr>
                <w:rFonts w:hint="eastAsia" w:ascii="仿宋_GB2312" w:hAnsi="仿宋_GB2312" w:eastAsia="仿宋_GB2312" w:cs="仿宋_GB2312"/>
                <w:szCs w:val="21"/>
              </w:rPr>
            </w:pPr>
          </w:p>
        </w:tc>
        <w:tc>
          <w:tcPr>
            <w:tcW w:w="470" w:type="pct"/>
            <w:vMerge w:val="restart"/>
            <w:vAlign w:val="center"/>
          </w:tcPr>
          <w:p w14:paraId="4387BC94">
            <w:pPr>
              <w:rPr>
                <w:rFonts w:hint="eastAsia" w:ascii="仿宋_GB2312" w:hAnsi="仿宋_GB2312" w:eastAsia="仿宋_GB2312" w:cs="仿宋_GB2312"/>
                <w:szCs w:val="21"/>
              </w:rPr>
            </w:pPr>
            <w:r>
              <w:rPr>
                <w:rFonts w:hint="eastAsia" w:ascii="仿宋_GB2312" w:hAnsi="仿宋_GB2312" w:eastAsia="仿宋_GB2312" w:cs="仿宋_GB2312"/>
                <w:szCs w:val="21"/>
              </w:rPr>
              <w:t>2.4 质量文化</w:t>
            </w:r>
          </w:p>
        </w:tc>
        <w:tc>
          <w:tcPr>
            <w:tcW w:w="727" w:type="pct"/>
            <w:vAlign w:val="center"/>
          </w:tcPr>
          <w:p w14:paraId="495A613E">
            <w:pPr>
              <w:rPr>
                <w:rFonts w:hint="eastAsia" w:ascii="仿宋_GB2312" w:hAnsi="仿宋_GB2312" w:eastAsia="仿宋_GB2312" w:cs="仿宋_GB2312"/>
                <w:szCs w:val="21"/>
              </w:rPr>
            </w:pPr>
            <w:r>
              <w:rPr>
                <w:rFonts w:hint="eastAsia" w:ascii="仿宋_GB2312" w:hAnsi="仿宋_GB2312" w:eastAsia="仿宋_GB2312" w:cs="仿宋_GB2312"/>
                <w:szCs w:val="21"/>
              </w:rPr>
              <w:t>2.4.1 自觉、自省、自律、自查、自纠的质量文化建设情况</w:t>
            </w:r>
          </w:p>
        </w:tc>
        <w:tc>
          <w:tcPr>
            <w:tcW w:w="3321" w:type="pct"/>
            <w:vAlign w:val="center"/>
          </w:tcPr>
          <w:p w14:paraId="11C66598">
            <w:pPr>
              <w:rPr>
                <w:rFonts w:hint="eastAsia" w:ascii="仿宋_GB2312" w:hAnsi="仿宋_GB2312" w:eastAsia="仿宋_GB2312" w:cs="仿宋_GB2312"/>
                <w:szCs w:val="21"/>
              </w:rPr>
            </w:pPr>
            <w:r>
              <w:rPr>
                <w:rFonts w:hint="eastAsia" w:ascii="仿宋_GB2312" w:hAnsi="仿宋_GB2312" w:eastAsia="仿宋_GB2312" w:cs="仿宋_GB2312"/>
                <w:szCs w:val="21"/>
              </w:rPr>
              <w:t>1.学院开展自觉、自省、自律、自查、自纠的质量文化建设情况，能够定期开展自我评估。</w:t>
            </w:r>
          </w:p>
        </w:tc>
      </w:tr>
      <w:tr w14:paraId="0B466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4" w:hRule="atLeast"/>
          <w:jc w:val="center"/>
        </w:trPr>
        <w:tc>
          <w:tcPr>
            <w:tcW w:w="482" w:type="pct"/>
            <w:vMerge w:val="continue"/>
            <w:vAlign w:val="center"/>
          </w:tcPr>
          <w:p w14:paraId="7ED613B2">
            <w:pPr>
              <w:rPr>
                <w:rFonts w:hint="eastAsia" w:ascii="仿宋_GB2312" w:hAnsi="仿宋_GB2312" w:eastAsia="仿宋_GB2312" w:cs="仿宋_GB2312"/>
                <w:szCs w:val="21"/>
              </w:rPr>
            </w:pPr>
          </w:p>
        </w:tc>
        <w:tc>
          <w:tcPr>
            <w:tcW w:w="470" w:type="pct"/>
            <w:vMerge w:val="continue"/>
            <w:vAlign w:val="center"/>
          </w:tcPr>
          <w:p w14:paraId="75BE7DFC">
            <w:pPr>
              <w:rPr>
                <w:rFonts w:hint="eastAsia" w:ascii="仿宋_GB2312" w:hAnsi="仿宋_GB2312" w:eastAsia="仿宋_GB2312" w:cs="仿宋_GB2312"/>
                <w:szCs w:val="21"/>
              </w:rPr>
            </w:pPr>
          </w:p>
        </w:tc>
        <w:tc>
          <w:tcPr>
            <w:tcW w:w="727" w:type="pct"/>
            <w:vAlign w:val="center"/>
          </w:tcPr>
          <w:p w14:paraId="27F42329">
            <w:pPr>
              <w:rPr>
                <w:rFonts w:hint="eastAsia" w:ascii="仿宋_GB2312" w:hAnsi="仿宋_GB2312" w:eastAsia="仿宋_GB2312" w:cs="仿宋_GB2312"/>
                <w:szCs w:val="21"/>
              </w:rPr>
            </w:pPr>
            <w:r>
              <w:rPr>
                <w:rFonts w:hint="eastAsia" w:ascii="仿宋_GB2312" w:hAnsi="仿宋_GB2312" w:eastAsia="仿宋_GB2312" w:cs="仿宋_GB2312"/>
                <w:szCs w:val="21"/>
              </w:rPr>
              <w:t>2.4.2 将质量价值观落实到教育教学各环节、将质量要求内化为全校师生的共同价值追求和行为情况</w:t>
            </w:r>
          </w:p>
        </w:tc>
        <w:tc>
          <w:tcPr>
            <w:tcW w:w="3321" w:type="pct"/>
            <w:vAlign w:val="center"/>
          </w:tcPr>
          <w:p w14:paraId="301919FF">
            <w:pPr>
              <w:rPr>
                <w:rFonts w:hint="eastAsia" w:ascii="仿宋_GB2312" w:hAnsi="仿宋_GB2312" w:eastAsia="仿宋_GB2312" w:cs="仿宋_GB2312"/>
                <w:szCs w:val="21"/>
              </w:rPr>
            </w:pPr>
            <w:r>
              <w:rPr>
                <w:rFonts w:hint="eastAsia" w:ascii="仿宋_GB2312" w:hAnsi="仿宋_GB2312" w:eastAsia="仿宋_GB2312" w:cs="仿宋_GB2312"/>
                <w:szCs w:val="21"/>
              </w:rPr>
              <w:t>1.学院是否将质量意识、质量标准、质量评价、质量管理落实到教育教学各环节，将质量要求内化为全院师生的共同价值追求和行为自觉方面的举措及成效。</w:t>
            </w:r>
          </w:p>
          <w:p w14:paraId="45175628">
            <w:pPr>
              <w:rPr>
                <w:rFonts w:hint="eastAsia" w:ascii="仿宋_GB2312" w:hAnsi="仿宋_GB2312" w:eastAsia="仿宋_GB2312" w:cs="仿宋_GB2312"/>
                <w:szCs w:val="21"/>
              </w:rPr>
            </w:pPr>
            <w:r>
              <w:rPr>
                <w:rFonts w:hint="eastAsia" w:ascii="仿宋_GB2312" w:hAnsi="仿宋_GB2312" w:eastAsia="仿宋_GB2312" w:cs="仿宋_GB2312"/>
                <w:szCs w:val="21"/>
              </w:rPr>
              <w:t>2.学院学生是否了解知道专业人才培养目标、毕业要求、培养方案等，接受专业教育，了解专业和学院、学校办学理念、定位目标、文化理念。</w:t>
            </w:r>
          </w:p>
          <w:p w14:paraId="030FE241">
            <w:pPr>
              <w:rPr>
                <w:rFonts w:hint="eastAsia" w:ascii="仿宋_GB2312" w:hAnsi="仿宋_GB2312" w:eastAsia="仿宋_GB2312" w:cs="仿宋_GB2312"/>
                <w:szCs w:val="21"/>
              </w:rPr>
            </w:pPr>
            <w:r>
              <w:rPr>
                <w:rFonts w:hint="eastAsia" w:ascii="仿宋_GB2312" w:hAnsi="仿宋_GB2312" w:eastAsia="仿宋_GB2312" w:cs="仿宋_GB2312"/>
                <w:szCs w:val="21"/>
              </w:rPr>
              <w:t>3.学院是否将以“以教为中心”转变为“以学为中心”，学院教师是否将质量意识落实到教学环节。</w:t>
            </w:r>
          </w:p>
        </w:tc>
      </w:tr>
      <w:tr w14:paraId="420D5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482" w:type="pct"/>
            <w:vMerge w:val="continue"/>
            <w:vAlign w:val="center"/>
          </w:tcPr>
          <w:p w14:paraId="5A071A47">
            <w:pPr>
              <w:rPr>
                <w:rFonts w:hint="eastAsia" w:ascii="仿宋_GB2312" w:hAnsi="仿宋_GB2312" w:eastAsia="仿宋_GB2312" w:cs="仿宋_GB2312"/>
                <w:szCs w:val="21"/>
              </w:rPr>
            </w:pPr>
          </w:p>
        </w:tc>
        <w:tc>
          <w:tcPr>
            <w:tcW w:w="470" w:type="pct"/>
            <w:vMerge w:val="restart"/>
            <w:vAlign w:val="center"/>
          </w:tcPr>
          <w:p w14:paraId="5D87F16E">
            <w:pPr>
              <w:rPr>
                <w:rFonts w:hint="eastAsia" w:ascii="仿宋_GB2312" w:hAnsi="仿宋_GB2312" w:eastAsia="仿宋_GB2312" w:cs="仿宋_GB2312"/>
                <w:szCs w:val="21"/>
              </w:rPr>
            </w:pPr>
            <w:r>
              <w:rPr>
                <w:rFonts w:hint="eastAsia" w:ascii="仿宋_GB2312" w:hAnsi="仿宋_GB2312" w:eastAsia="仿宋_GB2312" w:cs="仿宋_GB2312"/>
                <w:szCs w:val="21"/>
              </w:rPr>
              <w:t>2.5 质保效果</w:t>
            </w:r>
          </w:p>
        </w:tc>
        <w:tc>
          <w:tcPr>
            <w:tcW w:w="727" w:type="pct"/>
            <w:vAlign w:val="center"/>
          </w:tcPr>
          <w:p w14:paraId="4345E86B">
            <w:pPr>
              <w:rPr>
                <w:rFonts w:hint="eastAsia" w:ascii="仿宋_GB2312" w:hAnsi="仿宋_GB2312" w:eastAsia="仿宋_GB2312" w:cs="仿宋_GB2312"/>
                <w:szCs w:val="21"/>
              </w:rPr>
            </w:pPr>
            <w:r>
              <w:rPr>
                <w:rFonts w:hint="eastAsia" w:ascii="仿宋_GB2312" w:hAnsi="仿宋_GB2312" w:eastAsia="仿宋_GB2312" w:cs="仿宋_GB2312"/>
                <w:szCs w:val="21"/>
              </w:rPr>
              <w:t>2.5.1 培养目标的达成度</w:t>
            </w:r>
          </w:p>
        </w:tc>
        <w:tc>
          <w:tcPr>
            <w:tcW w:w="3321" w:type="pct"/>
            <w:vAlign w:val="center"/>
          </w:tcPr>
          <w:p w14:paraId="25FF8574">
            <w:pPr>
              <w:rPr>
                <w:rFonts w:hint="eastAsia" w:ascii="仿宋_GB2312" w:hAnsi="仿宋_GB2312" w:eastAsia="仿宋_GB2312" w:cs="仿宋_GB2312"/>
                <w:szCs w:val="21"/>
              </w:rPr>
            </w:pPr>
            <w:r>
              <w:rPr>
                <w:rFonts w:hint="eastAsia" w:ascii="仿宋_GB2312" w:hAnsi="仿宋_GB2312" w:eastAsia="仿宋_GB2312" w:cs="仿宋_GB2312"/>
                <w:szCs w:val="21"/>
              </w:rPr>
              <w:t>1.学院是否制定了培养目标达成度评价机制，并对达成情况进行了评价，达成情况如何。</w:t>
            </w:r>
          </w:p>
          <w:p w14:paraId="29B53550">
            <w:pPr>
              <w:rPr>
                <w:rFonts w:hint="eastAsia" w:ascii="仿宋_GB2312" w:hAnsi="仿宋_GB2312" w:eastAsia="仿宋_GB2312" w:cs="仿宋_GB2312"/>
                <w:szCs w:val="21"/>
              </w:rPr>
            </w:pPr>
            <w:r>
              <w:rPr>
                <w:rFonts w:hint="eastAsia" w:ascii="仿宋_GB2312" w:hAnsi="仿宋_GB2312" w:eastAsia="仿宋_GB2312" w:cs="仿宋_GB2312"/>
                <w:szCs w:val="21"/>
              </w:rPr>
              <w:t>2.学院是否建立了用人单位调查机制，并有过程性证明材料。</w:t>
            </w:r>
          </w:p>
          <w:p w14:paraId="06B75560">
            <w:pPr>
              <w:rPr>
                <w:rFonts w:hint="eastAsia" w:ascii="仿宋_GB2312" w:hAnsi="仿宋_GB2312" w:eastAsia="仿宋_GB2312" w:cs="仿宋_GB2312"/>
                <w:szCs w:val="21"/>
              </w:rPr>
            </w:pPr>
            <w:r>
              <w:rPr>
                <w:rFonts w:hint="eastAsia" w:ascii="仿宋_GB2312" w:hAnsi="仿宋_GB2312" w:eastAsia="仿宋_GB2312" w:cs="仿宋_GB2312"/>
                <w:szCs w:val="21"/>
              </w:rPr>
              <w:t>3.学院是否建立了毕业生培养质量跟踪调查机制，并有过程性证明材料。</w:t>
            </w:r>
          </w:p>
        </w:tc>
      </w:tr>
      <w:tr w14:paraId="29753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482" w:type="pct"/>
            <w:vMerge w:val="continue"/>
            <w:vAlign w:val="center"/>
          </w:tcPr>
          <w:p w14:paraId="1A03F9B6">
            <w:pPr>
              <w:rPr>
                <w:rFonts w:hint="eastAsia" w:ascii="仿宋_GB2312" w:hAnsi="仿宋_GB2312" w:eastAsia="仿宋_GB2312" w:cs="仿宋_GB2312"/>
                <w:szCs w:val="21"/>
              </w:rPr>
            </w:pPr>
          </w:p>
        </w:tc>
        <w:tc>
          <w:tcPr>
            <w:tcW w:w="470" w:type="pct"/>
            <w:vMerge w:val="continue"/>
            <w:vAlign w:val="center"/>
          </w:tcPr>
          <w:p w14:paraId="258F69A6">
            <w:pPr>
              <w:rPr>
                <w:rFonts w:hint="eastAsia" w:ascii="仿宋_GB2312" w:hAnsi="仿宋_GB2312" w:eastAsia="仿宋_GB2312" w:cs="仿宋_GB2312"/>
                <w:szCs w:val="21"/>
              </w:rPr>
            </w:pPr>
          </w:p>
        </w:tc>
        <w:tc>
          <w:tcPr>
            <w:tcW w:w="727" w:type="pct"/>
            <w:vAlign w:val="center"/>
          </w:tcPr>
          <w:p w14:paraId="09D4D76E">
            <w:pPr>
              <w:rPr>
                <w:rFonts w:hint="eastAsia" w:ascii="仿宋_GB2312" w:hAnsi="仿宋_GB2312" w:eastAsia="仿宋_GB2312" w:cs="仿宋_GB2312"/>
                <w:szCs w:val="21"/>
              </w:rPr>
            </w:pPr>
            <w:r>
              <w:rPr>
                <w:rFonts w:hint="eastAsia" w:ascii="仿宋_GB2312" w:hAnsi="仿宋_GB2312" w:eastAsia="仿宋_GB2312" w:cs="仿宋_GB2312"/>
                <w:szCs w:val="21"/>
              </w:rPr>
              <w:t>2.5.2 社会需求的适应度</w:t>
            </w:r>
          </w:p>
        </w:tc>
        <w:tc>
          <w:tcPr>
            <w:tcW w:w="3321" w:type="pct"/>
            <w:vAlign w:val="center"/>
          </w:tcPr>
          <w:p w14:paraId="40CCEF85">
            <w:pPr>
              <w:rPr>
                <w:rFonts w:hint="eastAsia" w:ascii="仿宋_GB2312" w:hAnsi="仿宋_GB2312" w:eastAsia="仿宋_GB2312" w:cs="仿宋_GB2312"/>
                <w:szCs w:val="21"/>
              </w:rPr>
            </w:pPr>
            <w:r>
              <w:rPr>
                <w:rFonts w:hint="eastAsia" w:ascii="仿宋_GB2312" w:hAnsi="仿宋_GB2312" w:eastAsia="仿宋_GB2312" w:cs="仿宋_GB2312"/>
                <w:szCs w:val="21"/>
              </w:rPr>
              <w:t>1.学院各专业毕业生是否满足社会需求和国家需求，各专业人才培养目标与国家、社会及学生的要求与期望符合情况。</w:t>
            </w:r>
          </w:p>
          <w:p w14:paraId="0219F629">
            <w:pPr>
              <w:rPr>
                <w:rFonts w:hint="eastAsia" w:ascii="仿宋_GB2312" w:hAnsi="仿宋_GB2312" w:eastAsia="仿宋_GB2312" w:cs="仿宋_GB2312"/>
                <w:szCs w:val="21"/>
              </w:rPr>
            </w:pPr>
            <w:r>
              <w:rPr>
                <w:rFonts w:hint="eastAsia" w:ascii="仿宋_GB2312" w:hAnsi="仿宋_GB2312" w:eastAsia="仿宋_GB2312" w:cs="仿宋_GB2312"/>
                <w:szCs w:val="21"/>
              </w:rPr>
              <w:t>2.学院各专业毕业生是否能够到国家和经济社会发展需要的地区和岗位就业，能够面向所服务的区域和行业企业就业，且就业质量和职业发展情况较好。</w:t>
            </w:r>
          </w:p>
          <w:p w14:paraId="47BF9670">
            <w:pPr>
              <w:rPr>
                <w:rFonts w:hint="eastAsia" w:ascii="仿宋_GB2312" w:hAnsi="仿宋_GB2312" w:eastAsia="仿宋_GB2312" w:cs="仿宋_GB2312"/>
                <w:szCs w:val="21"/>
              </w:rPr>
            </w:pPr>
            <w:r>
              <w:rPr>
                <w:rFonts w:hint="eastAsia" w:ascii="仿宋_GB2312" w:hAnsi="仿宋_GB2312" w:eastAsia="仿宋_GB2312" w:cs="仿宋_GB2312"/>
                <w:szCs w:val="21"/>
              </w:rPr>
              <w:t>3.学院是否强化顶层设计，形成专业培养方案修订完善的闭环管理机制，把服务国家战略、回应实践亟需等作为专业优化调整的指导方向。</w:t>
            </w:r>
          </w:p>
          <w:p w14:paraId="17E93257">
            <w:pPr>
              <w:rPr>
                <w:rFonts w:hint="eastAsia" w:ascii="仿宋_GB2312" w:hAnsi="仿宋_GB2312" w:eastAsia="仿宋_GB2312" w:cs="仿宋_GB2312"/>
                <w:color w:val="0000FF"/>
                <w:szCs w:val="21"/>
              </w:rPr>
            </w:pPr>
            <w:r>
              <w:rPr>
                <w:rFonts w:hint="eastAsia" w:ascii="仿宋_GB2312" w:hAnsi="仿宋_GB2312" w:eastAsia="仿宋_GB2312" w:cs="仿宋_GB2312"/>
                <w:szCs w:val="21"/>
              </w:rPr>
              <w:t>4.学院是否深度对接市场产业发展需要，不断优化专业结构，推动专业学科的交叉融合。</w:t>
            </w:r>
          </w:p>
        </w:tc>
      </w:tr>
      <w:tr w14:paraId="2EF6C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 w:type="pct"/>
            <w:vMerge w:val="continue"/>
            <w:vAlign w:val="center"/>
          </w:tcPr>
          <w:p w14:paraId="2177DCA6">
            <w:pPr>
              <w:rPr>
                <w:rFonts w:hint="eastAsia" w:ascii="仿宋_GB2312" w:hAnsi="仿宋_GB2312" w:eastAsia="仿宋_GB2312" w:cs="仿宋_GB2312"/>
                <w:szCs w:val="21"/>
              </w:rPr>
            </w:pPr>
          </w:p>
        </w:tc>
        <w:tc>
          <w:tcPr>
            <w:tcW w:w="470" w:type="pct"/>
            <w:vMerge w:val="continue"/>
            <w:vAlign w:val="center"/>
          </w:tcPr>
          <w:p w14:paraId="0E588A46">
            <w:pPr>
              <w:rPr>
                <w:rFonts w:hint="eastAsia" w:ascii="仿宋_GB2312" w:hAnsi="仿宋_GB2312" w:eastAsia="仿宋_GB2312" w:cs="仿宋_GB2312"/>
                <w:szCs w:val="21"/>
              </w:rPr>
            </w:pPr>
          </w:p>
        </w:tc>
        <w:tc>
          <w:tcPr>
            <w:tcW w:w="727" w:type="pct"/>
            <w:vAlign w:val="center"/>
          </w:tcPr>
          <w:p w14:paraId="75BD5B38">
            <w:pPr>
              <w:rPr>
                <w:rFonts w:hint="eastAsia" w:ascii="仿宋_GB2312" w:hAnsi="仿宋_GB2312" w:eastAsia="仿宋_GB2312" w:cs="仿宋_GB2312"/>
                <w:szCs w:val="21"/>
              </w:rPr>
            </w:pPr>
            <w:r>
              <w:rPr>
                <w:rFonts w:hint="eastAsia" w:ascii="仿宋_GB2312" w:hAnsi="仿宋_GB2312" w:eastAsia="仿宋_GB2312" w:cs="仿宋_GB2312"/>
                <w:szCs w:val="21"/>
              </w:rPr>
              <w:t>2.5.3 师资和条件的保障度</w:t>
            </w:r>
          </w:p>
        </w:tc>
        <w:tc>
          <w:tcPr>
            <w:tcW w:w="3321" w:type="pct"/>
            <w:vAlign w:val="center"/>
          </w:tcPr>
          <w:p w14:paraId="7BC7B052">
            <w:pPr>
              <w:rPr>
                <w:rFonts w:hint="eastAsia" w:ascii="仿宋_GB2312" w:hAnsi="仿宋_GB2312" w:eastAsia="仿宋_GB2312" w:cs="仿宋_GB2312"/>
                <w:szCs w:val="21"/>
              </w:rPr>
            </w:pPr>
            <w:r>
              <w:rPr>
                <w:rFonts w:hint="eastAsia" w:ascii="仿宋_GB2312" w:hAnsi="仿宋_GB2312" w:eastAsia="仿宋_GB2312" w:cs="仿宋_GB2312"/>
                <w:szCs w:val="21"/>
              </w:rPr>
              <w:t>1.学院专业生师比如何。学院专任教师、实验技术人员等结构、数量能否满足教学需求，发展态势如何。</w:t>
            </w:r>
          </w:p>
          <w:p w14:paraId="4F4AE85E">
            <w:pPr>
              <w:rPr>
                <w:rFonts w:hint="eastAsia" w:ascii="仿宋_GB2312" w:hAnsi="仿宋_GB2312" w:eastAsia="仿宋_GB2312" w:cs="仿宋_GB2312"/>
                <w:szCs w:val="21"/>
              </w:rPr>
            </w:pPr>
            <w:r>
              <w:rPr>
                <w:rFonts w:hint="eastAsia" w:ascii="仿宋_GB2312" w:hAnsi="仿宋_GB2312" w:eastAsia="仿宋_GB2312" w:cs="仿宋_GB2312"/>
                <w:szCs w:val="21"/>
              </w:rPr>
              <w:t>2.教学条件（实验室、教室设施等）是否能够满足教学需求。学院专业实验室（含科研实验室）向本科生开放情况、使用情况；是否有政策措施提高教学设施的利用率，为学生自主学习、开展科研训练提供条件。</w:t>
            </w:r>
          </w:p>
          <w:p w14:paraId="180C4BCD">
            <w:pPr>
              <w:rPr>
                <w:rFonts w:hint="eastAsia" w:ascii="仿宋_GB2312" w:hAnsi="仿宋_GB2312" w:eastAsia="仿宋_GB2312" w:cs="仿宋_GB2312"/>
                <w:szCs w:val="21"/>
              </w:rPr>
            </w:pPr>
            <w:r>
              <w:rPr>
                <w:rFonts w:hint="eastAsia" w:ascii="仿宋_GB2312" w:hAnsi="仿宋_GB2312" w:eastAsia="仿宋_GB2312" w:cs="仿宋_GB2312"/>
                <w:szCs w:val="21"/>
              </w:rPr>
              <w:t>3.学院是否有一定数量的其他经费用于补充、支持本科教学，教学经费是否真正用于本科教学，使用效益情况。</w:t>
            </w:r>
          </w:p>
        </w:tc>
      </w:tr>
      <w:tr w14:paraId="54C4A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jc w:val="center"/>
        </w:trPr>
        <w:tc>
          <w:tcPr>
            <w:tcW w:w="482" w:type="pct"/>
            <w:vMerge w:val="continue"/>
            <w:vAlign w:val="center"/>
          </w:tcPr>
          <w:p w14:paraId="29C07997">
            <w:pPr>
              <w:rPr>
                <w:rFonts w:hint="eastAsia" w:ascii="仿宋_GB2312" w:hAnsi="仿宋_GB2312" w:eastAsia="仿宋_GB2312" w:cs="仿宋_GB2312"/>
                <w:szCs w:val="21"/>
              </w:rPr>
            </w:pPr>
          </w:p>
        </w:tc>
        <w:tc>
          <w:tcPr>
            <w:tcW w:w="470" w:type="pct"/>
            <w:vMerge w:val="continue"/>
            <w:vAlign w:val="center"/>
          </w:tcPr>
          <w:p w14:paraId="58054EE0">
            <w:pPr>
              <w:rPr>
                <w:rFonts w:hint="eastAsia" w:ascii="仿宋_GB2312" w:hAnsi="仿宋_GB2312" w:eastAsia="仿宋_GB2312" w:cs="仿宋_GB2312"/>
                <w:szCs w:val="21"/>
              </w:rPr>
            </w:pPr>
          </w:p>
        </w:tc>
        <w:tc>
          <w:tcPr>
            <w:tcW w:w="727" w:type="pct"/>
            <w:vAlign w:val="center"/>
          </w:tcPr>
          <w:p w14:paraId="5EAFC9FB">
            <w:pPr>
              <w:rPr>
                <w:rFonts w:hint="eastAsia" w:ascii="仿宋_GB2312" w:hAnsi="仿宋_GB2312" w:eastAsia="仿宋_GB2312" w:cs="仿宋_GB2312"/>
                <w:szCs w:val="21"/>
              </w:rPr>
            </w:pPr>
            <w:r>
              <w:rPr>
                <w:rFonts w:hint="eastAsia" w:ascii="仿宋_GB2312" w:hAnsi="仿宋_GB2312" w:eastAsia="仿宋_GB2312" w:cs="仿宋_GB2312"/>
                <w:szCs w:val="21"/>
              </w:rPr>
              <w:t>2.5.4 质量保障运行的有效度</w:t>
            </w:r>
          </w:p>
        </w:tc>
        <w:tc>
          <w:tcPr>
            <w:tcW w:w="3321" w:type="pct"/>
            <w:vAlign w:val="center"/>
          </w:tcPr>
          <w:p w14:paraId="2FEBE5A0">
            <w:pPr>
              <w:rPr>
                <w:rFonts w:hint="eastAsia" w:ascii="仿宋_GB2312" w:hAnsi="仿宋_GB2312" w:eastAsia="仿宋_GB2312" w:cs="仿宋_GB2312"/>
                <w:szCs w:val="21"/>
              </w:rPr>
            </w:pPr>
            <w:r>
              <w:rPr>
                <w:rFonts w:hint="eastAsia" w:ascii="仿宋_GB2312" w:hAnsi="仿宋_GB2312" w:eastAsia="仿宋_GB2312" w:cs="仿宋_GB2312"/>
                <w:szCs w:val="21"/>
              </w:rPr>
              <w:t>1.学院质量监控体系是否能有效推动改进工作，是否有推进质量改进的合适途径和有效方法。</w:t>
            </w:r>
          </w:p>
          <w:p w14:paraId="5765EC5C">
            <w:pPr>
              <w:rPr>
                <w:rFonts w:hint="eastAsia" w:ascii="仿宋_GB2312" w:hAnsi="仿宋_GB2312" w:eastAsia="仿宋_GB2312" w:cs="仿宋_GB2312"/>
                <w:szCs w:val="21"/>
              </w:rPr>
            </w:pPr>
            <w:r>
              <w:rPr>
                <w:rFonts w:hint="eastAsia" w:ascii="仿宋_GB2312" w:hAnsi="仿宋_GB2312" w:eastAsia="仿宋_GB2312" w:cs="仿宋_GB2312"/>
                <w:szCs w:val="21"/>
              </w:rPr>
              <w:t>2.学院是否建立了持续改进机制，针对发现的质量问题能够制定改进方案和整改措施，并对改进措施的有效性适时评价、跟踪。</w:t>
            </w:r>
          </w:p>
        </w:tc>
      </w:tr>
      <w:tr w14:paraId="491FD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482" w:type="pct"/>
            <w:vMerge w:val="continue"/>
            <w:vAlign w:val="center"/>
          </w:tcPr>
          <w:p w14:paraId="7A469BEF">
            <w:pPr>
              <w:rPr>
                <w:rFonts w:hint="eastAsia" w:ascii="仿宋_GB2312" w:hAnsi="仿宋_GB2312" w:eastAsia="仿宋_GB2312" w:cs="仿宋_GB2312"/>
                <w:szCs w:val="21"/>
              </w:rPr>
            </w:pPr>
          </w:p>
        </w:tc>
        <w:tc>
          <w:tcPr>
            <w:tcW w:w="470" w:type="pct"/>
            <w:vMerge w:val="continue"/>
            <w:vAlign w:val="center"/>
          </w:tcPr>
          <w:p w14:paraId="01D90D86">
            <w:pPr>
              <w:rPr>
                <w:rFonts w:hint="eastAsia" w:ascii="仿宋_GB2312" w:hAnsi="仿宋_GB2312" w:eastAsia="仿宋_GB2312" w:cs="仿宋_GB2312"/>
                <w:szCs w:val="21"/>
              </w:rPr>
            </w:pPr>
          </w:p>
        </w:tc>
        <w:tc>
          <w:tcPr>
            <w:tcW w:w="727" w:type="pct"/>
            <w:vAlign w:val="center"/>
          </w:tcPr>
          <w:p w14:paraId="7EE87E28">
            <w:pPr>
              <w:rPr>
                <w:rFonts w:hint="eastAsia" w:ascii="仿宋_GB2312" w:hAnsi="仿宋_GB2312" w:eastAsia="仿宋_GB2312" w:cs="仿宋_GB2312"/>
                <w:szCs w:val="21"/>
              </w:rPr>
            </w:pPr>
            <w:r>
              <w:rPr>
                <w:rFonts w:hint="eastAsia" w:ascii="仿宋_GB2312" w:hAnsi="仿宋_GB2312" w:eastAsia="仿宋_GB2312" w:cs="仿宋_GB2312"/>
                <w:szCs w:val="21"/>
              </w:rPr>
              <w:t>2.5.5 学生和用人单位的满意度</w:t>
            </w:r>
          </w:p>
        </w:tc>
        <w:tc>
          <w:tcPr>
            <w:tcW w:w="3321" w:type="pct"/>
            <w:vAlign w:val="center"/>
          </w:tcPr>
          <w:p w14:paraId="4AB27AF3">
            <w:pPr>
              <w:rPr>
                <w:rFonts w:hint="eastAsia" w:ascii="仿宋_GB2312" w:hAnsi="仿宋_GB2312" w:eastAsia="仿宋_GB2312" w:cs="仿宋_GB2312"/>
                <w:szCs w:val="21"/>
              </w:rPr>
            </w:pPr>
            <w:r>
              <w:rPr>
                <w:rFonts w:hint="eastAsia" w:ascii="仿宋_GB2312" w:hAnsi="仿宋_GB2312" w:eastAsia="仿宋_GB2312" w:cs="仿宋_GB2312"/>
                <w:szCs w:val="21"/>
              </w:rPr>
              <w:t>1.学院是否建立了用人单位对毕业生的评价制度，是否建立了用人单位、行业等对教学工作的反馈制度。</w:t>
            </w:r>
          </w:p>
          <w:p w14:paraId="5C6605EC">
            <w:pPr>
              <w:rPr>
                <w:rFonts w:hint="eastAsia" w:ascii="仿宋_GB2312" w:hAnsi="仿宋_GB2312" w:eastAsia="仿宋_GB2312" w:cs="仿宋_GB2312"/>
                <w:szCs w:val="21"/>
              </w:rPr>
            </w:pPr>
            <w:r>
              <w:rPr>
                <w:rFonts w:hint="eastAsia" w:ascii="仿宋_GB2312" w:hAnsi="仿宋_GB2312" w:eastAsia="仿宋_GB2312" w:cs="仿宋_GB2312"/>
                <w:szCs w:val="21"/>
              </w:rPr>
              <w:t>2.毕业生和用人单位各方面满意度如何。</w:t>
            </w:r>
          </w:p>
        </w:tc>
      </w:tr>
      <w:tr w14:paraId="3B022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 w:type="pct"/>
            <w:vMerge w:val="restart"/>
            <w:vAlign w:val="center"/>
          </w:tcPr>
          <w:p w14:paraId="5037C3BA">
            <w:pPr>
              <w:rPr>
                <w:rFonts w:hint="eastAsia" w:ascii="仿宋_GB2312" w:hAnsi="仿宋_GB2312" w:eastAsia="仿宋_GB2312" w:cs="仿宋_GB2312"/>
                <w:szCs w:val="21"/>
              </w:rPr>
            </w:pPr>
            <w:r>
              <w:rPr>
                <w:rFonts w:hint="eastAsia" w:ascii="仿宋_GB2312" w:hAnsi="仿宋_GB2312" w:eastAsia="仿宋_GB2312" w:cs="仿宋_GB2312"/>
                <w:szCs w:val="21"/>
              </w:rPr>
              <w:t>3.教育教学水平</w:t>
            </w:r>
          </w:p>
        </w:tc>
        <w:tc>
          <w:tcPr>
            <w:tcW w:w="470" w:type="pct"/>
            <w:vMerge w:val="restart"/>
            <w:vAlign w:val="center"/>
          </w:tcPr>
          <w:p w14:paraId="065C8DB7">
            <w:pPr>
              <w:rPr>
                <w:rFonts w:hint="eastAsia" w:ascii="仿宋_GB2312" w:hAnsi="仿宋_GB2312" w:eastAsia="仿宋_GB2312" w:cs="仿宋_GB2312"/>
                <w:szCs w:val="21"/>
              </w:rPr>
            </w:pPr>
            <w:r>
              <w:rPr>
                <w:rFonts w:hint="eastAsia" w:ascii="仿宋_GB2312" w:hAnsi="仿宋_GB2312" w:eastAsia="仿宋_GB2312" w:cs="仿宋_GB2312"/>
                <w:szCs w:val="21"/>
              </w:rPr>
              <w:t>3.1 思政教育</w:t>
            </w:r>
          </w:p>
        </w:tc>
        <w:tc>
          <w:tcPr>
            <w:tcW w:w="727" w:type="pct"/>
            <w:vAlign w:val="center"/>
          </w:tcPr>
          <w:p w14:paraId="27B56279">
            <w:pPr>
              <w:rPr>
                <w:rFonts w:hint="eastAsia" w:ascii="仿宋_GB2312" w:hAnsi="仿宋_GB2312" w:eastAsia="仿宋_GB2312" w:cs="仿宋_GB2312"/>
                <w:szCs w:val="21"/>
              </w:rPr>
            </w:pPr>
            <w:r>
              <w:rPr>
                <w:rFonts w:hint="eastAsia" w:ascii="仿宋_GB2312" w:hAnsi="仿宋_GB2312" w:eastAsia="仿宋_GB2312" w:cs="仿宋_GB2312"/>
                <w:szCs w:val="21"/>
              </w:rPr>
              <w:t>3.1.1 落实意识形态工作责任制，思想政治工作体系建设和 “三全育人”工作格局建立情况</w:t>
            </w:r>
          </w:p>
        </w:tc>
        <w:tc>
          <w:tcPr>
            <w:tcW w:w="3321" w:type="pct"/>
            <w:vAlign w:val="center"/>
          </w:tcPr>
          <w:p w14:paraId="65330145">
            <w:pPr>
              <w:rPr>
                <w:rFonts w:hint="eastAsia" w:ascii="仿宋_GB2312" w:hAnsi="仿宋_GB2312" w:eastAsia="仿宋_GB2312" w:cs="仿宋_GB2312"/>
                <w:szCs w:val="21"/>
              </w:rPr>
            </w:pPr>
            <w:r>
              <w:rPr>
                <w:rFonts w:hint="eastAsia" w:ascii="仿宋_GB2312" w:hAnsi="仿宋_GB2312" w:eastAsia="仿宋_GB2312" w:cs="仿宋_GB2312"/>
                <w:szCs w:val="21"/>
              </w:rPr>
              <w:t>1.学院是否把握师生思想特点和发展需求，把社会主义核心价值观等有机融入思想道德教育、文化知识教育和社会实践教育等各个环节，确保思想政治工作进教材、进课堂、进头脑。</w:t>
            </w:r>
          </w:p>
          <w:p w14:paraId="043E39A6">
            <w:pPr>
              <w:rPr>
                <w:rFonts w:hint="eastAsia" w:ascii="仿宋_GB2312" w:hAnsi="仿宋_GB2312" w:eastAsia="仿宋_GB2312" w:cs="仿宋_GB2312"/>
                <w:szCs w:val="21"/>
              </w:rPr>
            </w:pPr>
            <w:r>
              <w:rPr>
                <w:rFonts w:hint="eastAsia" w:ascii="仿宋_GB2312" w:hAnsi="仿宋_GB2312" w:eastAsia="仿宋_GB2312" w:cs="仿宋_GB2312"/>
                <w:szCs w:val="21"/>
              </w:rPr>
              <w:t>2.学院思政教育的针对性、实效性如何。对新时代学生思想行为变化把握是否及时精准，育人形式是否丰富，学生在思政教育中的主体作用发挥是否充分，为学生创造的自我管理、自我教育、自我提升的机会、资源、场景是否丰富。</w:t>
            </w:r>
          </w:p>
          <w:p w14:paraId="5549A6DE">
            <w:pPr>
              <w:rPr>
                <w:rFonts w:hint="eastAsia" w:ascii="仿宋_GB2312" w:hAnsi="仿宋_GB2312" w:eastAsia="仿宋_GB2312" w:cs="仿宋_GB2312"/>
                <w:szCs w:val="21"/>
              </w:rPr>
            </w:pPr>
            <w:r>
              <w:rPr>
                <w:rFonts w:hint="eastAsia" w:ascii="仿宋_GB2312" w:hAnsi="仿宋_GB2312" w:eastAsia="仿宋_GB2312" w:cs="仿宋_GB2312"/>
                <w:szCs w:val="21"/>
              </w:rPr>
              <w:t>3.学院贯彻落实学校意识形态工作责任制相关规定，强化政治责任和领导责任，定期分析、研判、部署、报告意识形态领域形势，加强宣传思想阵地和活动管理，积极稳妥开展舆情处置与舆论引导工作情况，确保意识形态工作扎实有效。</w:t>
            </w:r>
          </w:p>
          <w:p w14:paraId="4B7AEC9D">
            <w:pPr>
              <w:rPr>
                <w:rFonts w:hint="eastAsia" w:ascii="仿宋_GB2312" w:hAnsi="仿宋_GB2312" w:eastAsia="仿宋_GB2312" w:cs="仿宋_GB2312"/>
                <w:szCs w:val="21"/>
              </w:rPr>
            </w:pPr>
            <w:r>
              <w:rPr>
                <w:rFonts w:hint="eastAsia" w:ascii="仿宋_GB2312" w:hAnsi="仿宋_GB2312" w:eastAsia="仿宋_GB2312" w:cs="仿宋_GB2312"/>
                <w:szCs w:val="21"/>
              </w:rPr>
              <w:t>4.学院是否清晰掌握学生思想、学习和生活状态，做好对特殊学生的动态管理和针对性帮扶工作。</w:t>
            </w:r>
          </w:p>
          <w:p w14:paraId="588456C4">
            <w:pPr>
              <w:rPr>
                <w:rFonts w:hint="eastAsia" w:ascii="仿宋_GB2312" w:hAnsi="仿宋_GB2312" w:eastAsia="仿宋_GB2312" w:cs="仿宋_GB2312"/>
                <w:szCs w:val="21"/>
              </w:rPr>
            </w:pPr>
            <w:r>
              <w:rPr>
                <w:rFonts w:hint="eastAsia" w:ascii="仿宋_GB2312" w:hAnsi="仿宋_GB2312" w:eastAsia="仿宋_GB2312" w:cs="仿宋_GB2312"/>
                <w:szCs w:val="21"/>
              </w:rPr>
              <w:t>5.学院意识形态工作是否责任明确、落实到位。构建高校思想政治工作体系，形成全员育人、全程育人、全方位育人的工作格局；加强学风建设，教育引导学生爱国、励志、求真、力行。采取有效措施加强学风建设，形成充分调动学生自主学习的机制、环境和氛围，引导学生为国家发展，为追求真理而勤奋学习、奋发图强。（包括出台哪些文件制度，落实情况）</w:t>
            </w:r>
          </w:p>
          <w:p w14:paraId="0089559D">
            <w:pPr>
              <w:rPr>
                <w:rFonts w:hint="eastAsia" w:ascii="仿宋_GB2312" w:hAnsi="仿宋_GB2312" w:eastAsia="仿宋_GB2312" w:cs="仿宋_GB2312"/>
                <w:szCs w:val="21"/>
              </w:rPr>
            </w:pPr>
            <w:r>
              <w:rPr>
                <w:rFonts w:hint="eastAsia" w:ascii="仿宋_GB2312" w:hAnsi="仿宋_GB2312" w:eastAsia="仿宋_GB2312" w:cs="仿宋_GB2312"/>
                <w:szCs w:val="21"/>
              </w:rPr>
              <w:t>6.学院构建“三全育人”工作格局情况如何，是否充分发挥课程、科研、实践、文化、网络、心理、管理、服务、资助、组织等方面工作的育人功能。</w:t>
            </w:r>
          </w:p>
          <w:p w14:paraId="51A70DE1">
            <w:pPr>
              <w:rPr>
                <w:rFonts w:hint="eastAsia" w:ascii="仿宋_GB2312" w:hAnsi="仿宋_GB2312" w:eastAsia="仿宋_GB2312" w:cs="仿宋_GB2312"/>
                <w:szCs w:val="21"/>
              </w:rPr>
            </w:pPr>
            <w:r>
              <w:rPr>
                <w:rFonts w:hint="eastAsia" w:ascii="仿宋_GB2312" w:hAnsi="仿宋_GB2312" w:eastAsia="仿宋_GB2312" w:cs="仿宋_GB2312"/>
                <w:szCs w:val="21"/>
              </w:rPr>
              <w:t>7.学院是否将“三全育人”责任纳入教职员工职责和考核要求，协同育人机制落实效果如何。学校层面、职能部门、教学单位协同发力、各司其职，相互支持。</w:t>
            </w:r>
          </w:p>
        </w:tc>
      </w:tr>
      <w:tr w14:paraId="7EE0B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2" w:hRule="atLeast"/>
          <w:jc w:val="center"/>
        </w:trPr>
        <w:tc>
          <w:tcPr>
            <w:tcW w:w="482" w:type="pct"/>
            <w:vMerge w:val="continue"/>
            <w:vAlign w:val="center"/>
          </w:tcPr>
          <w:p w14:paraId="1FCDACAF">
            <w:pPr>
              <w:rPr>
                <w:rFonts w:hint="eastAsia" w:ascii="仿宋_GB2312" w:hAnsi="仿宋_GB2312" w:eastAsia="仿宋_GB2312" w:cs="仿宋_GB2312"/>
                <w:szCs w:val="21"/>
              </w:rPr>
            </w:pPr>
          </w:p>
        </w:tc>
        <w:tc>
          <w:tcPr>
            <w:tcW w:w="470" w:type="pct"/>
            <w:vMerge w:val="continue"/>
            <w:vAlign w:val="center"/>
          </w:tcPr>
          <w:p w14:paraId="30667E1B">
            <w:pPr>
              <w:rPr>
                <w:rFonts w:hint="eastAsia" w:ascii="仿宋_GB2312" w:hAnsi="仿宋_GB2312" w:eastAsia="仿宋_GB2312" w:cs="仿宋_GB2312"/>
                <w:szCs w:val="21"/>
              </w:rPr>
            </w:pPr>
          </w:p>
        </w:tc>
        <w:tc>
          <w:tcPr>
            <w:tcW w:w="727" w:type="pct"/>
            <w:vAlign w:val="center"/>
          </w:tcPr>
          <w:p w14:paraId="096E11B2">
            <w:pPr>
              <w:rPr>
                <w:rFonts w:hint="eastAsia" w:ascii="仿宋_GB2312" w:hAnsi="仿宋_GB2312" w:eastAsia="仿宋_GB2312" w:cs="仿宋_GB2312"/>
                <w:szCs w:val="21"/>
              </w:rPr>
            </w:pPr>
            <w:r>
              <w:rPr>
                <w:rFonts w:hint="eastAsia" w:ascii="仿宋_GB2312" w:hAnsi="仿宋_GB2312" w:eastAsia="仿宋_GB2312" w:cs="仿宋_GB2312"/>
                <w:szCs w:val="21"/>
              </w:rPr>
              <w:t>3.1.2 加强思想政治理论课教师队伍和思政课程建设情况，按要求开设“习近平总书记关于教育的重要论述研究”课程情况</w:t>
            </w:r>
          </w:p>
          <w:p w14:paraId="6700A50D">
            <w:pPr>
              <w:rPr>
                <w:rFonts w:hint="eastAsia" w:ascii="仿宋_GB2312" w:hAnsi="仿宋_GB2312" w:eastAsia="仿宋_GB2312" w:cs="仿宋_GB2312"/>
                <w:szCs w:val="21"/>
              </w:rPr>
            </w:pPr>
          </w:p>
        </w:tc>
        <w:tc>
          <w:tcPr>
            <w:tcW w:w="3321" w:type="pct"/>
            <w:vAlign w:val="center"/>
          </w:tcPr>
          <w:p w14:paraId="5C4E1E2F">
            <w:pPr>
              <w:rPr>
                <w:rFonts w:hint="eastAsia" w:ascii="仿宋_GB2312" w:hAnsi="仿宋_GB2312" w:eastAsia="仿宋_GB2312" w:cs="仿宋_GB2312"/>
                <w:szCs w:val="21"/>
              </w:rPr>
            </w:pPr>
            <w:r>
              <w:rPr>
                <w:rFonts w:hint="eastAsia" w:ascii="仿宋_GB2312" w:hAnsi="仿宋_GB2312" w:eastAsia="仿宋_GB2312" w:cs="仿宋_GB2312"/>
                <w:szCs w:val="21"/>
              </w:rPr>
              <w:t>1.是否有思想政治理论课教师队伍和思政课程建设规划、制度文件，建设达到国家建设标准。</w:t>
            </w:r>
          </w:p>
          <w:p w14:paraId="67B12636">
            <w:pPr>
              <w:rPr>
                <w:rFonts w:hint="eastAsia" w:ascii="仿宋_GB2312" w:hAnsi="仿宋_GB2312" w:eastAsia="仿宋_GB2312" w:cs="仿宋_GB2312"/>
                <w:szCs w:val="21"/>
              </w:rPr>
            </w:pPr>
            <w:r>
              <w:rPr>
                <w:rFonts w:hint="eastAsia" w:ascii="仿宋_GB2312" w:hAnsi="仿宋_GB2312" w:eastAsia="仿宋_GB2312" w:cs="仿宋_GB2312"/>
                <w:szCs w:val="21"/>
              </w:rPr>
              <w:t>2.在思政教师培育、选拔、使用等各环节各方面情况。是否配齐建强思政课专职教师队伍，建设专职为主、专兼结合、数量充足素质优良的思政课教师队伍。（人员队伍数量是否充足、结构是否合理、是否有高层次拔尖人才、高职称比例如何）</w:t>
            </w:r>
          </w:p>
          <w:p w14:paraId="320787DD">
            <w:pPr>
              <w:rPr>
                <w:rFonts w:hint="eastAsia" w:ascii="仿宋_GB2312" w:hAnsi="仿宋_GB2312" w:eastAsia="仿宋_GB2312" w:cs="仿宋_GB2312"/>
                <w:szCs w:val="21"/>
              </w:rPr>
            </w:pPr>
            <w:r>
              <w:rPr>
                <w:rFonts w:hint="eastAsia" w:ascii="仿宋_GB2312" w:hAnsi="仿宋_GB2312" w:eastAsia="仿宋_GB2312" w:cs="仿宋_GB2312"/>
                <w:szCs w:val="21"/>
              </w:rPr>
              <w:t xml:space="preserve">3.加强思想政治理论课程建设情况如何？ </w:t>
            </w:r>
          </w:p>
          <w:p w14:paraId="0C1BB5FD">
            <w:pPr>
              <w:rPr>
                <w:rFonts w:hint="eastAsia" w:ascii="仿宋_GB2312" w:hAnsi="仿宋_GB2312" w:eastAsia="仿宋_GB2312" w:cs="仿宋_GB2312"/>
                <w:szCs w:val="21"/>
              </w:rPr>
            </w:pPr>
            <w:r>
              <w:rPr>
                <w:rFonts w:hint="eastAsia" w:ascii="仿宋_GB2312" w:hAnsi="仿宋_GB2312" w:eastAsia="仿宋_GB2312" w:cs="仿宋_GB2312"/>
                <w:szCs w:val="21"/>
              </w:rPr>
              <w:t>4.课程思政建设成效如何，学生满意度如何？</w:t>
            </w:r>
          </w:p>
        </w:tc>
      </w:tr>
      <w:tr w14:paraId="4ADF6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 w:type="pct"/>
            <w:vMerge w:val="continue"/>
            <w:vAlign w:val="center"/>
          </w:tcPr>
          <w:p w14:paraId="1C2996A9">
            <w:pPr>
              <w:rPr>
                <w:rFonts w:hint="eastAsia" w:ascii="仿宋_GB2312" w:hAnsi="仿宋_GB2312" w:eastAsia="仿宋_GB2312" w:cs="仿宋_GB2312"/>
                <w:szCs w:val="21"/>
              </w:rPr>
            </w:pPr>
          </w:p>
        </w:tc>
        <w:tc>
          <w:tcPr>
            <w:tcW w:w="470" w:type="pct"/>
            <w:vMerge w:val="continue"/>
            <w:vAlign w:val="center"/>
          </w:tcPr>
          <w:p w14:paraId="02859BCD">
            <w:pPr>
              <w:rPr>
                <w:rFonts w:hint="eastAsia" w:ascii="仿宋_GB2312" w:hAnsi="仿宋_GB2312" w:eastAsia="仿宋_GB2312" w:cs="仿宋_GB2312"/>
                <w:szCs w:val="21"/>
              </w:rPr>
            </w:pPr>
          </w:p>
        </w:tc>
        <w:tc>
          <w:tcPr>
            <w:tcW w:w="727" w:type="pct"/>
            <w:vAlign w:val="center"/>
          </w:tcPr>
          <w:p w14:paraId="5AB6C91C">
            <w:pPr>
              <w:rPr>
                <w:rFonts w:hint="eastAsia" w:ascii="仿宋_GB2312" w:hAnsi="仿宋_GB2312" w:eastAsia="仿宋_GB2312" w:cs="仿宋_GB2312"/>
                <w:szCs w:val="21"/>
              </w:rPr>
            </w:pPr>
            <w:r>
              <w:rPr>
                <w:rFonts w:hint="eastAsia" w:ascii="仿宋_GB2312" w:hAnsi="仿宋_GB2312" w:eastAsia="仿宋_GB2312" w:cs="仿宋_GB2312"/>
                <w:szCs w:val="21"/>
              </w:rPr>
              <w:t>3.1.3 推动“课程思政”建设的创新举措与实施成效，课程思政示范课程、课程思政教学研究示范中心以及课程思政教学名师和团队的建设及选树情况</w:t>
            </w:r>
          </w:p>
        </w:tc>
        <w:tc>
          <w:tcPr>
            <w:tcW w:w="3321" w:type="pct"/>
            <w:vAlign w:val="center"/>
          </w:tcPr>
          <w:p w14:paraId="009394A0">
            <w:pPr>
              <w:rPr>
                <w:rFonts w:hint="eastAsia" w:ascii="仿宋_GB2312" w:hAnsi="仿宋_GB2312" w:eastAsia="仿宋_GB2312" w:cs="仿宋_GB2312"/>
                <w:szCs w:val="21"/>
              </w:rPr>
            </w:pPr>
            <w:r>
              <w:rPr>
                <w:rFonts w:hint="eastAsia" w:ascii="仿宋_GB2312" w:hAnsi="仿宋_GB2312" w:eastAsia="仿宋_GB2312" w:cs="仿宋_GB2312"/>
                <w:szCs w:val="21"/>
              </w:rPr>
              <w:t>1.学院积极推动“课程思政”建设，课程思政名师和教学团队建设成效如何。教师在授课过程中课程思政融入情况，成效如何。</w:t>
            </w:r>
          </w:p>
        </w:tc>
      </w:tr>
      <w:tr w14:paraId="772BA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 w:type="pct"/>
            <w:vMerge w:val="continue"/>
            <w:vAlign w:val="center"/>
          </w:tcPr>
          <w:p w14:paraId="55B3DAFA">
            <w:pPr>
              <w:rPr>
                <w:rFonts w:hint="eastAsia" w:ascii="仿宋_GB2312" w:hAnsi="仿宋_GB2312" w:eastAsia="仿宋_GB2312" w:cs="仿宋_GB2312"/>
                <w:szCs w:val="21"/>
              </w:rPr>
            </w:pPr>
          </w:p>
        </w:tc>
        <w:tc>
          <w:tcPr>
            <w:tcW w:w="470" w:type="pct"/>
            <w:vMerge w:val="continue"/>
            <w:vAlign w:val="center"/>
          </w:tcPr>
          <w:p w14:paraId="6FE49A56">
            <w:pPr>
              <w:rPr>
                <w:rFonts w:hint="eastAsia" w:ascii="仿宋_GB2312" w:hAnsi="仿宋_GB2312" w:eastAsia="仿宋_GB2312" w:cs="仿宋_GB2312"/>
                <w:szCs w:val="21"/>
              </w:rPr>
            </w:pPr>
          </w:p>
        </w:tc>
        <w:tc>
          <w:tcPr>
            <w:tcW w:w="727" w:type="pct"/>
            <w:vAlign w:val="center"/>
          </w:tcPr>
          <w:p w14:paraId="3001B633">
            <w:pPr>
              <w:rPr>
                <w:rFonts w:hint="eastAsia" w:ascii="仿宋_GB2312" w:hAnsi="仿宋_GB2312" w:eastAsia="仿宋_GB2312" w:cs="仿宋_GB2312"/>
                <w:szCs w:val="21"/>
              </w:rPr>
            </w:pPr>
            <w:r>
              <w:rPr>
                <w:rFonts w:hint="eastAsia" w:ascii="仿宋_GB2312" w:hAnsi="仿宋_GB2312" w:eastAsia="仿宋_GB2312" w:cs="仿宋_GB2312"/>
                <w:szCs w:val="21"/>
              </w:rPr>
              <w:t>3.1.4 学校对教师、学生出现思想政治、道德品质等负面问题能否及时发现和妥当处置情况</w:t>
            </w:r>
          </w:p>
        </w:tc>
        <w:tc>
          <w:tcPr>
            <w:tcW w:w="3321" w:type="pct"/>
            <w:vAlign w:val="center"/>
          </w:tcPr>
          <w:p w14:paraId="6168FBF1">
            <w:pPr>
              <w:rPr>
                <w:rFonts w:hint="eastAsia" w:ascii="仿宋_GB2312" w:hAnsi="仿宋_GB2312" w:eastAsia="仿宋_GB2312" w:cs="仿宋_GB2312"/>
                <w:szCs w:val="21"/>
              </w:rPr>
            </w:pPr>
            <w:r>
              <w:rPr>
                <w:rFonts w:hint="eastAsia" w:ascii="仿宋_GB2312" w:hAnsi="仿宋_GB2312" w:eastAsia="仿宋_GB2312" w:cs="仿宋_GB2312"/>
                <w:szCs w:val="21"/>
              </w:rPr>
              <w:t>1.是否设有师生思想政治、道德品质等方面负面问题的预警机制，对教师、学生出现思想政治、道德品质等负面问题能及时发现和妥当处置的机制及相关规定。</w:t>
            </w:r>
          </w:p>
          <w:p w14:paraId="01CA2EDA">
            <w:pPr>
              <w:rPr>
                <w:rFonts w:hint="eastAsia" w:ascii="仿宋_GB2312" w:hAnsi="仿宋_GB2312" w:eastAsia="仿宋_GB2312" w:cs="仿宋_GB2312"/>
                <w:szCs w:val="21"/>
              </w:rPr>
            </w:pPr>
            <w:r>
              <w:rPr>
                <w:rFonts w:hint="eastAsia" w:ascii="仿宋_GB2312" w:hAnsi="仿宋_GB2312" w:eastAsia="仿宋_GB2312" w:cs="仿宋_GB2312"/>
                <w:szCs w:val="21"/>
              </w:rPr>
              <w:t>2.是否定期分析研判、掌握教师思想政治状况，做好经常性谈心谈话和引导疏导工作，是否畅通师德失范行为的反馈渠道，及时有效化解和妥善处置有关矛盾和问题，做好重大问题报告和舆情分析反馈工作。</w:t>
            </w:r>
          </w:p>
        </w:tc>
      </w:tr>
      <w:tr w14:paraId="08962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 w:type="pct"/>
            <w:vMerge w:val="continue"/>
            <w:vAlign w:val="center"/>
          </w:tcPr>
          <w:p w14:paraId="20D6F6B1">
            <w:pPr>
              <w:rPr>
                <w:rFonts w:hint="eastAsia" w:ascii="仿宋_GB2312" w:hAnsi="仿宋_GB2312" w:eastAsia="仿宋_GB2312" w:cs="仿宋_GB2312"/>
                <w:szCs w:val="21"/>
              </w:rPr>
            </w:pPr>
          </w:p>
        </w:tc>
        <w:tc>
          <w:tcPr>
            <w:tcW w:w="470" w:type="pct"/>
            <w:vMerge w:val="restart"/>
            <w:vAlign w:val="center"/>
          </w:tcPr>
          <w:p w14:paraId="71C2A9FB">
            <w:pPr>
              <w:rPr>
                <w:rFonts w:hint="eastAsia" w:ascii="仿宋_GB2312" w:hAnsi="仿宋_GB2312" w:eastAsia="仿宋_GB2312" w:cs="仿宋_GB2312"/>
                <w:szCs w:val="21"/>
              </w:rPr>
            </w:pPr>
            <w:r>
              <w:rPr>
                <w:rFonts w:hint="eastAsia" w:ascii="仿宋_GB2312" w:hAnsi="仿宋_GB2312" w:eastAsia="仿宋_GB2312" w:cs="仿宋_GB2312"/>
                <w:szCs w:val="21"/>
              </w:rPr>
              <w:t>3.2本科地位</w:t>
            </w:r>
          </w:p>
        </w:tc>
        <w:tc>
          <w:tcPr>
            <w:tcW w:w="727" w:type="pct"/>
            <w:vAlign w:val="center"/>
          </w:tcPr>
          <w:p w14:paraId="53FFFF8A">
            <w:pPr>
              <w:rPr>
                <w:rFonts w:hint="eastAsia" w:ascii="仿宋_GB2312" w:hAnsi="仿宋_GB2312" w:eastAsia="仿宋_GB2312" w:cs="仿宋_GB2312"/>
                <w:szCs w:val="21"/>
              </w:rPr>
            </w:pPr>
            <w:r>
              <w:rPr>
                <w:rFonts w:hint="eastAsia" w:ascii="仿宋_GB2312" w:hAnsi="仿宋_GB2312" w:eastAsia="仿宋_GB2312" w:cs="仿宋_GB2312"/>
                <w:szCs w:val="21"/>
              </w:rPr>
              <w:t>3.2.1 坚持“以本为本”、推进“四个回归”情况；党委重视、校长主抓、院长落实一流本科教育的举措与实施成效</w:t>
            </w:r>
          </w:p>
        </w:tc>
        <w:tc>
          <w:tcPr>
            <w:tcW w:w="3321" w:type="pct"/>
            <w:vAlign w:val="center"/>
          </w:tcPr>
          <w:p w14:paraId="215FB782">
            <w:pPr>
              <w:rPr>
                <w:rFonts w:hint="eastAsia" w:ascii="仿宋_GB2312" w:hAnsi="仿宋_GB2312" w:eastAsia="仿宋_GB2312" w:cs="仿宋_GB2312"/>
                <w:szCs w:val="21"/>
              </w:rPr>
            </w:pPr>
            <w:r>
              <w:rPr>
                <w:rFonts w:hint="eastAsia" w:ascii="仿宋_GB2312" w:hAnsi="仿宋_GB2312" w:eastAsia="仿宋_GB2312" w:cs="仿宋_GB2312"/>
                <w:szCs w:val="21"/>
              </w:rPr>
              <w:t>1.学院的各项工作以人才培养为中心情况如何？学院党政联席会研究本科教学相关议题的次数。</w:t>
            </w:r>
          </w:p>
          <w:p w14:paraId="6536481B">
            <w:pPr>
              <w:rPr>
                <w:rFonts w:hint="eastAsia" w:ascii="仿宋_GB2312" w:hAnsi="仿宋_GB2312" w:eastAsia="仿宋_GB2312" w:cs="仿宋_GB2312"/>
                <w:szCs w:val="21"/>
              </w:rPr>
            </w:pPr>
            <w:r>
              <w:rPr>
                <w:rFonts w:hint="eastAsia" w:ascii="仿宋_GB2312" w:hAnsi="仿宋_GB2312" w:eastAsia="仿宋_GB2312" w:cs="仿宋_GB2312"/>
                <w:szCs w:val="21"/>
              </w:rPr>
              <w:t>2.学院各项工作是否以教学为中心；是否能正确处理好人才培养与科学研究、社会服务和文化传承与创新的关系。使科学研究、社会服务和文化传承与创新和人才培养有效衔接，为人才培养服务。</w:t>
            </w:r>
          </w:p>
          <w:p w14:paraId="4A00B9EC">
            <w:pPr>
              <w:rPr>
                <w:rFonts w:hint="eastAsia" w:ascii="仿宋_GB2312" w:hAnsi="仿宋_GB2312" w:eastAsia="仿宋_GB2312" w:cs="仿宋_GB2312"/>
                <w:szCs w:val="21"/>
              </w:rPr>
            </w:pPr>
            <w:r>
              <w:rPr>
                <w:rFonts w:hint="eastAsia" w:ascii="仿宋_GB2312" w:hAnsi="仿宋_GB2312" w:eastAsia="仿宋_GB2312" w:cs="仿宋_GB2312"/>
                <w:szCs w:val="21"/>
              </w:rPr>
              <w:t>3.人才培养中心地位要在发展规划、会议纪要、院级文件中有体现，要有具体的支撑材料来证明。</w:t>
            </w:r>
          </w:p>
        </w:tc>
      </w:tr>
      <w:tr w14:paraId="389C6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jc w:val="center"/>
        </w:trPr>
        <w:tc>
          <w:tcPr>
            <w:tcW w:w="482" w:type="pct"/>
            <w:vMerge w:val="continue"/>
            <w:vAlign w:val="center"/>
          </w:tcPr>
          <w:p w14:paraId="2738CF2F">
            <w:pPr>
              <w:rPr>
                <w:rFonts w:hint="eastAsia" w:ascii="仿宋_GB2312" w:hAnsi="仿宋_GB2312" w:eastAsia="仿宋_GB2312" w:cs="仿宋_GB2312"/>
                <w:szCs w:val="21"/>
              </w:rPr>
            </w:pPr>
          </w:p>
        </w:tc>
        <w:tc>
          <w:tcPr>
            <w:tcW w:w="470" w:type="pct"/>
            <w:vMerge w:val="continue"/>
            <w:vAlign w:val="center"/>
          </w:tcPr>
          <w:p w14:paraId="497102EF">
            <w:pPr>
              <w:rPr>
                <w:rFonts w:hint="eastAsia" w:ascii="仿宋_GB2312" w:hAnsi="仿宋_GB2312" w:eastAsia="仿宋_GB2312" w:cs="仿宋_GB2312"/>
                <w:szCs w:val="21"/>
              </w:rPr>
            </w:pPr>
          </w:p>
        </w:tc>
        <w:tc>
          <w:tcPr>
            <w:tcW w:w="727" w:type="pct"/>
            <w:vAlign w:val="center"/>
          </w:tcPr>
          <w:p w14:paraId="0F8A61E5">
            <w:pPr>
              <w:rPr>
                <w:rFonts w:hint="eastAsia" w:ascii="仿宋_GB2312" w:hAnsi="仿宋_GB2312" w:eastAsia="仿宋_GB2312" w:cs="仿宋_GB2312"/>
                <w:szCs w:val="21"/>
              </w:rPr>
            </w:pPr>
            <w:r>
              <w:rPr>
                <w:rFonts w:hint="eastAsia" w:ascii="仿宋_GB2312" w:hAnsi="仿宋_GB2312" w:eastAsia="仿宋_GB2312" w:cs="仿宋_GB2312"/>
                <w:szCs w:val="21"/>
              </w:rPr>
              <w:t>3.2.2 学校在教师引进、职称评聘、绩效考核等制度设计中突出本科教育的具体举措与实施成效</w:t>
            </w:r>
          </w:p>
        </w:tc>
        <w:tc>
          <w:tcPr>
            <w:tcW w:w="3321" w:type="pct"/>
            <w:vAlign w:val="center"/>
          </w:tcPr>
          <w:p w14:paraId="4E9AEDB4">
            <w:pPr>
              <w:rPr>
                <w:rFonts w:hint="eastAsia" w:ascii="仿宋_GB2312" w:hAnsi="仿宋_GB2312" w:eastAsia="仿宋_GB2312" w:cs="仿宋_GB2312"/>
                <w:szCs w:val="21"/>
              </w:rPr>
            </w:pPr>
            <w:r>
              <w:rPr>
                <w:rFonts w:hint="eastAsia" w:ascii="仿宋_GB2312" w:hAnsi="仿宋_GB2312" w:eastAsia="仿宋_GB2312" w:cs="仿宋_GB2312"/>
                <w:szCs w:val="21"/>
              </w:rPr>
              <w:t>1.学院在教师引进、职称评聘、绩效考核等制度设计中突出本科教学的具体举措与实施成效。</w:t>
            </w:r>
          </w:p>
        </w:tc>
      </w:tr>
      <w:tr w14:paraId="61351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1" w:hRule="atLeast"/>
          <w:jc w:val="center"/>
        </w:trPr>
        <w:tc>
          <w:tcPr>
            <w:tcW w:w="482" w:type="pct"/>
            <w:vMerge w:val="continue"/>
            <w:vAlign w:val="center"/>
          </w:tcPr>
          <w:p w14:paraId="70391A3D">
            <w:pPr>
              <w:rPr>
                <w:rFonts w:hint="eastAsia" w:ascii="仿宋_GB2312" w:hAnsi="仿宋_GB2312" w:eastAsia="仿宋_GB2312" w:cs="仿宋_GB2312"/>
                <w:szCs w:val="21"/>
              </w:rPr>
            </w:pPr>
          </w:p>
        </w:tc>
        <w:tc>
          <w:tcPr>
            <w:tcW w:w="470" w:type="pct"/>
            <w:vMerge w:val="restart"/>
            <w:vAlign w:val="center"/>
          </w:tcPr>
          <w:p w14:paraId="59B0938D">
            <w:pPr>
              <w:rPr>
                <w:rFonts w:hint="eastAsia" w:ascii="仿宋_GB2312" w:hAnsi="仿宋_GB2312" w:eastAsia="仿宋_GB2312" w:cs="仿宋_GB2312"/>
                <w:szCs w:val="21"/>
              </w:rPr>
            </w:pPr>
            <w:r>
              <w:rPr>
                <w:rFonts w:hint="eastAsia" w:ascii="仿宋_GB2312" w:hAnsi="仿宋_GB2312" w:eastAsia="仿宋_GB2312" w:cs="仿宋_GB2312"/>
                <w:szCs w:val="21"/>
              </w:rPr>
              <w:t>3.3 教师队伍</w:t>
            </w:r>
          </w:p>
        </w:tc>
        <w:tc>
          <w:tcPr>
            <w:tcW w:w="727" w:type="pct"/>
            <w:vAlign w:val="center"/>
          </w:tcPr>
          <w:p w14:paraId="66197458">
            <w:pPr>
              <w:rPr>
                <w:rFonts w:hint="eastAsia" w:ascii="仿宋_GB2312" w:hAnsi="仿宋_GB2312" w:eastAsia="仿宋_GB2312" w:cs="仿宋_GB2312"/>
                <w:szCs w:val="21"/>
              </w:rPr>
            </w:pPr>
            <w:r>
              <w:rPr>
                <w:rFonts w:hint="eastAsia" w:ascii="仿宋_GB2312" w:hAnsi="仿宋_GB2312" w:eastAsia="仿宋_GB2312" w:cs="仿宋_GB2312"/>
                <w:szCs w:val="21"/>
              </w:rPr>
              <w:t>3.3.1 落实师德师风是评价教师第一标准的情况，落实师德考核贯穿于教育教学全过程等方面的情况</w:t>
            </w:r>
          </w:p>
        </w:tc>
        <w:tc>
          <w:tcPr>
            <w:tcW w:w="3321" w:type="pct"/>
            <w:vAlign w:val="center"/>
          </w:tcPr>
          <w:p w14:paraId="2C69FB0C">
            <w:pPr>
              <w:rPr>
                <w:rFonts w:hint="eastAsia" w:ascii="仿宋_GB2312" w:hAnsi="仿宋_GB2312" w:eastAsia="仿宋_GB2312" w:cs="仿宋_GB2312"/>
                <w:szCs w:val="21"/>
              </w:rPr>
            </w:pPr>
            <w:r>
              <w:rPr>
                <w:rFonts w:hint="eastAsia" w:ascii="仿宋_GB2312" w:hAnsi="仿宋_GB2312" w:eastAsia="仿宋_GB2312" w:cs="仿宋_GB2312"/>
                <w:szCs w:val="21"/>
              </w:rPr>
              <w:t>1.是否建立促进师德师风建设的机制，有何政策、文件，效果如何。</w:t>
            </w:r>
          </w:p>
          <w:p w14:paraId="4CB60E07">
            <w:pPr>
              <w:rPr>
                <w:rFonts w:hint="eastAsia" w:ascii="仿宋_GB2312" w:hAnsi="仿宋_GB2312" w:eastAsia="仿宋_GB2312" w:cs="仿宋_GB2312"/>
                <w:szCs w:val="21"/>
              </w:rPr>
            </w:pPr>
            <w:r>
              <w:rPr>
                <w:rFonts w:hint="eastAsia" w:ascii="仿宋_GB2312" w:hAnsi="仿宋_GB2312" w:eastAsia="仿宋_GB2312" w:cs="仿宋_GB2312"/>
                <w:szCs w:val="21"/>
              </w:rPr>
              <w:t>2.学院是否把师德师风作为评价教师第一标准、对师德失范行为执行“一票否决”、将师德考核贯穿于教育教学全过程等方面的举措及成效。</w:t>
            </w:r>
          </w:p>
          <w:p w14:paraId="65C05D42">
            <w:pPr>
              <w:rPr>
                <w:rFonts w:hint="eastAsia" w:ascii="仿宋_GB2312" w:hAnsi="仿宋_GB2312" w:eastAsia="仿宋_GB2312" w:cs="仿宋_GB2312"/>
                <w:szCs w:val="21"/>
              </w:rPr>
            </w:pPr>
            <w:r>
              <w:rPr>
                <w:rFonts w:hint="eastAsia" w:ascii="仿宋_GB2312" w:hAnsi="仿宋_GB2312" w:eastAsia="仿宋_GB2312" w:cs="仿宋_GB2312"/>
                <w:szCs w:val="21"/>
              </w:rPr>
              <w:t>3.是否把加强师德师风建设作为重要工作来抓，党政主要负责人是否认真履行第一责任人职责。</w:t>
            </w:r>
          </w:p>
        </w:tc>
      </w:tr>
      <w:tr w14:paraId="4E0F8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 w:type="pct"/>
            <w:vMerge w:val="continue"/>
            <w:vAlign w:val="center"/>
          </w:tcPr>
          <w:p w14:paraId="16005AA5">
            <w:pPr>
              <w:rPr>
                <w:rFonts w:hint="eastAsia" w:ascii="仿宋_GB2312" w:hAnsi="仿宋_GB2312" w:eastAsia="仿宋_GB2312" w:cs="仿宋_GB2312"/>
                <w:szCs w:val="21"/>
              </w:rPr>
            </w:pPr>
          </w:p>
        </w:tc>
        <w:tc>
          <w:tcPr>
            <w:tcW w:w="470" w:type="pct"/>
            <w:vMerge w:val="continue"/>
            <w:vAlign w:val="center"/>
          </w:tcPr>
          <w:p w14:paraId="26A235D3">
            <w:pPr>
              <w:rPr>
                <w:rFonts w:hint="eastAsia" w:ascii="仿宋_GB2312" w:hAnsi="仿宋_GB2312" w:eastAsia="仿宋_GB2312" w:cs="仿宋_GB2312"/>
                <w:szCs w:val="21"/>
              </w:rPr>
            </w:pPr>
          </w:p>
        </w:tc>
        <w:tc>
          <w:tcPr>
            <w:tcW w:w="727" w:type="pct"/>
            <w:vAlign w:val="center"/>
          </w:tcPr>
          <w:p w14:paraId="37F796E0">
            <w:pPr>
              <w:rPr>
                <w:rFonts w:hint="eastAsia" w:ascii="仿宋_GB2312" w:hAnsi="仿宋_GB2312" w:eastAsia="仿宋_GB2312" w:cs="仿宋_GB2312"/>
                <w:szCs w:val="21"/>
              </w:rPr>
            </w:pPr>
            <w:r>
              <w:rPr>
                <w:rFonts w:hint="eastAsia" w:ascii="仿宋_GB2312" w:hAnsi="仿宋_GB2312" w:eastAsia="仿宋_GB2312" w:cs="仿宋_GB2312"/>
                <w:szCs w:val="21"/>
              </w:rPr>
              <w:t>3.3.2 教师教学能力满足一流人才培养需求情况，引导高水平教师投入教育教学、推动教授全员为本科生上课、上好课的政策、举措与实施成效</w:t>
            </w:r>
          </w:p>
        </w:tc>
        <w:tc>
          <w:tcPr>
            <w:tcW w:w="3321" w:type="pct"/>
            <w:vAlign w:val="center"/>
          </w:tcPr>
          <w:p w14:paraId="12ABA180">
            <w:pPr>
              <w:rPr>
                <w:rFonts w:hint="eastAsia" w:ascii="仿宋_GB2312" w:hAnsi="仿宋_GB2312" w:eastAsia="仿宋_GB2312" w:cs="仿宋_GB2312"/>
                <w:szCs w:val="21"/>
              </w:rPr>
            </w:pPr>
            <w:r>
              <w:rPr>
                <w:rFonts w:hint="eastAsia" w:ascii="仿宋_GB2312" w:hAnsi="仿宋_GB2312" w:eastAsia="仿宋_GB2312" w:cs="仿宋_GB2312"/>
                <w:szCs w:val="21"/>
              </w:rPr>
              <w:t>1.学院教师教学能力能否满足一流人才培养需求情况。</w:t>
            </w:r>
          </w:p>
          <w:p w14:paraId="544048B7">
            <w:pPr>
              <w:rPr>
                <w:rFonts w:hint="eastAsia" w:ascii="仿宋_GB2312" w:hAnsi="仿宋_GB2312" w:eastAsia="仿宋_GB2312" w:cs="仿宋_GB2312"/>
                <w:szCs w:val="21"/>
              </w:rPr>
            </w:pPr>
            <w:r>
              <w:rPr>
                <w:rFonts w:hint="eastAsia" w:ascii="仿宋_GB2312" w:hAnsi="仿宋_GB2312" w:eastAsia="仿宋_GB2312" w:cs="仿宋_GB2312"/>
                <w:szCs w:val="21"/>
              </w:rPr>
              <w:t>2.教师自觉履行教书育人职责及将主要精力投入本科教学工作情况。主讲本科课程的教授、副教授分别占教授、副教授总数的比例如何。</w:t>
            </w:r>
          </w:p>
          <w:p w14:paraId="55DFBFD3">
            <w:pPr>
              <w:rPr>
                <w:rFonts w:hint="eastAsia" w:ascii="仿宋_GB2312" w:hAnsi="仿宋_GB2312" w:eastAsia="仿宋_GB2312" w:cs="仿宋_GB2312"/>
                <w:szCs w:val="21"/>
              </w:rPr>
            </w:pPr>
            <w:r>
              <w:rPr>
                <w:rFonts w:hint="eastAsia" w:ascii="仿宋_GB2312" w:hAnsi="仿宋_GB2312" w:eastAsia="仿宋_GB2312" w:cs="仿宋_GB2312"/>
                <w:szCs w:val="21"/>
              </w:rPr>
              <w:t>3.教师参加教学研究、教学改革的情况。实际效果如何。教师参加校以上级别的教改立项课题的人数及比例如何。</w:t>
            </w:r>
          </w:p>
          <w:p w14:paraId="0AD88B22">
            <w:pPr>
              <w:rPr>
                <w:rFonts w:hint="eastAsia" w:ascii="仿宋_GB2312" w:hAnsi="仿宋_GB2312" w:eastAsia="仿宋_GB2312" w:cs="仿宋_GB2312"/>
                <w:szCs w:val="21"/>
              </w:rPr>
            </w:pPr>
            <w:r>
              <w:rPr>
                <w:rFonts w:hint="eastAsia" w:ascii="仿宋_GB2312" w:hAnsi="仿宋_GB2312" w:eastAsia="仿宋_GB2312" w:cs="仿宋_GB2312"/>
                <w:szCs w:val="21"/>
              </w:rPr>
              <w:t>4.教师在专业建设（课程建设、教材建设、实验室建设等）方面发挥作用情况。</w:t>
            </w:r>
          </w:p>
          <w:p w14:paraId="16E052C4">
            <w:pPr>
              <w:rPr>
                <w:rFonts w:hint="eastAsia" w:ascii="仿宋_GB2312" w:hAnsi="仿宋_GB2312" w:eastAsia="仿宋_GB2312" w:cs="仿宋_GB2312"/>
                <w:szCs w:val="21"/>
              </w:rPr>
            </w:pPr>
            <w:r>
              <w:rPr>
                <w:rFonts w:hint="eastAsia" w:ascii="仿宋_GB2312" w:hAnsi="仿宋_GB2312" w:eastAsia="仿宋_GB2312" w:cs="仿宋_GB2312"/>
                <w:szCs w:val="21"/>
              </w:rPr>
              <w:t>5.在教师评价考核中关于本科教学评价的比重如何，是否存在“重科研、轻教学”的现象。</w:t>
            </w:r>
          </w:p>
        </w:tc>
      </w:tr>
      <w:tr w14:paraId="6BD85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3" w:hRule="atLeast"/>
          <w:jc w:val="center"/>
        </w:trPr>
        <w:tc>
          <w:tcPr>
            <w:tcW w:w="482" w:type="pct"/>
            <w:vMerge w:val="continue"/>
            <w:vAlign w:val="center"/>
          </w:tcPr>
          <w:p w14:paraId="7CCA7223">
            <w:pPr>
              <w:rPr>
                <w:rFonts w:hint="eastAsia" w:ascii="仿宋_GB2312" w:hAnsi="仿宋_GB2312" w:eastAsia="仿宋_GB2312" w:cs="仿宋_GB2312"/>
                <w:szCs w:val="21"/>
              </w:rPr>
            </w:pPr>
          </w:p>
        </w:tc>
        <w:tc>
          <w:tcPr>
            <w:tcW w:w="470" w:type="pct"/>
            <w:vMerge w:val="continue"/>
            <w:vAlign w:val="center"/>
          </w:tcPr>
          <w:p w14:paraId="7D899163">
            <w:pPr>
              <w:rPr>
                <w:rFonts w:hint="eastAsia" w:ascii="仿宋_GB2312" w:hAnsi="仿宋_GB2312" w:eastAsia="仿宋_GB2312" w:cs="仿宋_GB2312"/>
                <w:szCs w:val="21"/>
              </w:rPr>
            </w:pPr>
          </w:p>
        </w:tc>
        <w:tc>
          <w:tcPr>
            <w:tcW w:w="727" w:type="pct"/>
            <w:vAlign w:val="center"/>
          </w:tcPr>
          <w:p w14:paraId="219B79BA">
            <w:pPr>
              <w:rPr>
                <w:rFonts w:hint="eastAsia" w:ascii="仿宋_GB2312" w:hAnsi="仿宋_GB2312" w:eastAsia="仿宋_GB2312" w:cs="仿宋_GB2312"/>
                <w:szCs w:val="21"/>
              </w:rPr>
            </w:pPr>
            <w:r>
              <w:rPr>
                <w:rFonts w:hint="eastAsia" w:ascii="仿宋_GB2312" w:hAnsi="仿宋_GB2312" w:eastAsia="仿宋_GB2312" w:cs="仿宋_GB2312"/>
                <w:szCs w:val="21"/>
              </w:rPr>
              <w:t>3.3.3 重视教师培训与职业发展，把习近平总书记关于教育的重要论述作为核心培训课程，把《习近平总书记教育重要论述讲义》作为核心培训教材，加强思政与党务工作队伍建设的举措与成效</w:t>
            </w:r>
          </w:p>
        </w:tc>
        <w:tc>
          <w:tcPr>
            <w:tcW w:w="3321" w:type="pct"/>
            <w:vAlign w:val="center"/>
          </w:tcPr>
          <w:p w14:paraId="52AF688F">
            <w:pPr>
              <w:rPr>
                <w:rFonts w:hint="eastAsia" w:ascii="仿宋_GB2312" w:hAnsi="仿宋_GB2312" w:eastAsia="仿宋_GB2312" w:cs="仿宋_GB2312"/>
                <w:szCs w:val="21"/>
              </w:rPr>
            </w:pPr>
            <w:r>
              <w:rPr>
                <w:rFonts w:hint="eastAsia" w:ascii="仿宋_GB2312" w:hAnsi="仿宋_GB2312" w:eastAsia="仿宋_GB2312" w:cs="仿宋_GB2312"/>
                <w:szCs w:val="21"/>
              </w:rPr>
              <w:t>1.学院是否有师资队伍建设规划，是否建立有利于优秀教师成长和吸引优秀人才的机制。</w:t>
            </w:r>
          </w:p>
          <w:p w14:paraId="15399B04">
            <w:pPr>
              <w:rPr>
                <w:rFonts w:hint="eastAsia" w:ascii="仿宋_GB2312" w:hAnsi="仿宋_GB2312" w:eastAsia="仿宋_GB2312" w:cs="仿宋_GB2312"/>
                <w:szCs w:val="21"/>
              </w:rPr>
            </w:pPr>
            <w:r>
              <w:rPr>
                <w:rFonts w:hint="eastAsia" w:ascii="仿宋_GB2312" w:hAnsi="仿宋_GB2312" w:eastAsia="仿宋_GB2312" w:cs="仿宋_GB2312"/>
                <w:szCs w:val="21"/>
              </w:rPr>
              <w:t>2.学院在服务教师职业生涯发展方面特别是在关心青年教师成长、提升其业务水平和教学能力方面采取了哪些措施。</w:t>
            </w:r>
          </w:p>
          <w:p w14:paraId="65332AFE">
            <w:pPr>
              <w:rPr>
                <w:rFonts w:hint="eastAsia" w:ascii="仿宋_GB2312" w:hAnsi="仿宋_GB2312" w:eastAsia="仿宋_GB2312" w:cs="仿宋_GB2312"/>
                <w:szCs w:val="21"/>
              </w:rPr>
            </w:pPr>
            <w:r>
              <w:rPr>
                <w:rFonts w:hint="eastAsia" w:ascii="仿宋_GB2312" w:hAnsi="仿宋_GB2312" w:eastAsia="仿宋_GB2312" w:cs="仿宋_GB2312"/>
                <w:szCs w:val="21"/>
              </w:rPr>
              <w:t xml:space="preserve">3.健全教师（包括实验教辅人员）培育体系，分层分类开展专业培训和教育教学研究研讨活动情况。           </w:t>
            </w:r>
          </w:p>
          <w:p w14:paraId="4561014D">
            <w:pPr>
              <w:rPr>
                <w:rFonts w:hint="eastAsia" w:ascii="仿宋_GB2312" w:hAnsi="仿宋_GB2312" w:eastAsia="仿宋_GB2312" w:cs="仿宋_GB2312"/>
                <w:szCs w:val="21"/>
              </w:rPr>
            </w:pPr>
            <w:r>
              <w:rPr>
                <w:rFonts w:hint="eastAsia" w:ascii="仿宋_GB2312" w:hAnsi="仿宋_GB2312" w:eastAsia="仿宋_GB2312" w:cs="仿宋_GB2312"/>
                <w:szCs w:val="21"/>
              </w:rPr>
              <w:t>4.是否完善青年教师“传帮带”机制，落实青年教师课堂准入情况。</w:t>
            </w:r>
          </w:p>
          <w:p w14:paraId="4DD69F93">
            <w:pPr>
              <w:rPr>
                <w:rFonts w:hint="eastAsia" w:ascii="仿宋_GB2312" w:hAnsi="仿宋_GB2312" w:eastAsia="仿宋_GB2312" w:cs="仿宋_GB2312"/>
                <w:szCs w:val="21"/>
              </w:rPr>
            </w:pPr>
            <w:r>
              <w:rPr>
                <w:rFonts w:hint="eastAsia" w:ascii="仿宋_GB2312" w:hAnsi="仿宋_GB2312" w:eastAsia="仿宋_GB2312" w:cs="仿宋_GB2312"/>
                <w:szCs w:val="21"/>
              </w:rPr>
              <w:t>5.围绕提升教学能力的教学竞赛、教改项目、教学培训的参与情况。</w:t>
            </w:r>
          </w:p>
          <w:p w14:paraId="76E0E898">
            <w:pPr>
              <w:rPr>
                <w:rFonts w:hint="eastAsia" w:ascii="仿宋_GB2312" w:hAnsi="仿宋_GB2312" w:eastAsia="仿宋_GB2312" w:cs="仿宋_GB2312"/>
                <w:szCs w:val="21"/>
              </w:rPr>
            </w:pPr>
            <w:r>
              <w:rPr>
                <w:rFonts w:hint="eastAsia" w:ascii="仿宋_GB2312" w:hAnsi="仿宋_GB2312" w:eastAsia="仿宋_GB2312" w:cs="仿宋_GB2312"/>
                <w:szCs w:val="21"/>
              </w:rPr>
              <w:t>6.学院重视并加强思政与党务工作队伍建设成效。</w:t>
            </w:r>
          </w:p>
          <w:p w14:paraId="1066566B">
            <w:pPr>
              <w:rPr>
                <w:rFonts w:hint="eastAsia" w:ascii="仿宋_GB2312" w:hAnsi="仿宋_GB2312" w:eastAsia="仿宋_GB2312" w:cs="仿宋_GB2312"/>
                <w:szCs w:val="21"/>
              </w:rPr>
            </w:pPr>
            <w:r>
              <w:rPr>
                <w:rFonts w:hint="eastAsia" w:ascii="仿宋_GB2312" w:hAnsi="仿宋_GB2312" w:eastAsia="仿宋_GB2312" w:cs="仿宋_GB2312"/>
                <w:szCs w:val="21"/>
              </w:rPr>
              <w:t>教师党支部在教师队伍建设中履行政治把关和师德把关职责情况，是否定期总结和改进支部师德师风状况，充分发挥支部教师党员在师德师风建设方面的引领作用。</w:t>
            </w:r>
          </w:p>
          <w:p w14:paraId="5D0C72C0">
            <w:pPr>
              <w:rPr>
                <w:rFonts w:hint="eastAsia" w:ascii="仿宋_GB2312" w:hAnsi="仿宋_GB2312" w:eastAsia="仿宋_GB2312" w:cs="仿宋_GB2312"/>
                <w:szCs w:val="21"/>
              </w:rPr>
            </w:pPr>
            <w:r>
              <w:rPr>
                <w:rFonts w:hint="eastAsia" w:ascii="仿宋_GB2312" w:hAnsi="仿宋_GB2312" w:eastAsia="仿宋_GB2312" w:cs="仿宋_GB2312"/>
                <w:szCs w:val="21"/>
              </w:rPr>
              <w:t>7.学院资助教师参加教学会议，资助教师国内、出国进修情况。</w:t>
            </w:r>
          </w:p>
          <w:p w14:paraId="2CDFC0DF">
            <w:pPr>
              <w:rPr>
                <w:rFonts w:hint="eastAsia" w:ascii="仿宋_GB2312" w:hAnsi="仿宋_GB2312" w:eastAsia="仿宋_GB2312" w:cs="仿宋_GB2312"/>
                <w:szCs w:val="21"/>
              </w:rPr>
            </w:pPr>
            <w:r>
              <w:rPr>
                <w:rFonts w:hint="eastAsia" w:ascii="仿宋_GB2312" w:hAnsi="仿宋_GB2312" w:eastAsia="仿宋_GB2312" w:cs="仿宋_GB2312"/>
                <w:szCs w:val="21"/>
              </w:rPr>
              <w:t>8.学院开展教师相关教学培训、研讨、研修和交流活动等情况。</w:t>
            </w:r>
          </w:p>
        </w:tc>
      </w:tr>
      <w:tr w14:paraId="515A3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482" w:type="pct"/>
            <w:vMerge w:val="continue"/>
            <w:vAlign w:val="center"/>
          </w:tcPr>
          <w:p w14:paraId="443D44D8">
            <w:pPr>
              <w:rPr>
                <w:rFonts w:hint="eastAsia" w:ascii="仿宋_GB2312" w:hAnsi="仿宋_GB2312" w:eastAsia="仿宋_GB2312" w:cs="仿宋_GB2312"/>
                <w:szCs w:val="21"/>
              </w:rPr>
            </w:pPr>
          </w:p>
        </w:tc>
        <w:tc>
          <w:tcPr>
            <w:tcW w:w="470" w:type="pct"/>
            <w:vMerge w:val="continue"/>
            <w:vAlign w:val="center"/>
          </w:tcPr>
          <w:p w14:paraId="7D86E94F">
            <w:pPr>
              <w:rPr>
                <w:rFonts w:hint="eastAsia" w:ascii="仿宋_GB2312" w:hAnsi="仿宋_GB2312" w:eastAsia="仿宋_GB2312" w:cs="仿宋_GB2312"/>
                <w:szCs w:val="21"/>
              </w:rPr>
            </w:pPr>
          </w:p>
        </w:tc>
        <w:tc>
          <w:tcPr>
            <w:tcW w:w="727" w:type="pct"/>
            <w:vAlign w:val="center"/>
          </w:tcPr>
          <w:p w14:paraId="3BB1698B">
            <w:pPr>
              <w:rPr>
                <w:rFonts w:hint="eastAsia" w:ascii="仿宋_GB2312" w:hAnsi="仿宋_GB2312" w:eastAsia="仿宋_GB2312" w:cs="仿宋_GB2312"/>
                <w:szCs w:val="21"/>
              </w:rPr>
            </w:pPr>
            <w:r>
              <w:rPr>
                <w:rFonts w:hint="eastAsia" w:ascii="仿宋_GB2312" w:hAnsi="仿宋_GB2312" w:eastAsia="仿宋_GB2312" w:cs="仿宋_GB2312"/>
                <w:szCs w:val="21"/>
              </w:rPr>
              <w:t>3.3.4 加强教师教学发展中心、基层教学组织建设的举措与成效</w:t>
            </w:r>
          </w:p>
        </w:tc>
        <w:tc>
          <w:tcPr>
            <w:tcW w:w="3321" w:type="pct"/>
            <w:vAlign w:val="center"/>
          </w:tcPr>
          <w:p w14:paraId="435D77D4">
            <w:pPr>
              <w:rPr>
                <w:rFonts w:hint="eastAsia" w:ascii="仿宋_GB2312" w:hAnsi="仿宋_GB2312" w:eastAsia="仿宋_GB2312" w:cs="仿宋_GB2312"/>
                <w:szCs w:val="21"/>
              </w:rPr>
            </w:pPr>
            <w:r>
              <w:rPr>
                <w:rFonts w:hint="eastAsia" w:ascii="仿宋_GB2312" w:hAnsi="仿宋_GB2312" w:eastAsia="仿宋_GB2312" w:cs="仿宋_GB2312"/>
                <w:szCs w:val="21"/>
              </w:rPr>
              <w:t>1.学院强化基层教学组织建设情况如何？教学基层组织是否对学院本科教学起到促进作用？</w:t>
            </w:r>
          </w:p>
          <w:p w14:paraId="7BD897EC">
            <w:pPr>
              <w:rPr>
                <w:rFonts w:hint="eastAsia" w:ascii="仿宋_GB2312" w:hAnsi="仿宋_GB2312" w:eastAsia="仿宋_GB2312" w:cs="仿宋_GB2312"/>
                <w:szCs w:val="21"/>
              </w:rPr>
            </w:pPr>
            <w:r>
              <w:rPr>
                <w:rFonts w:hint="eastAsia" w:ascii="仿宋_GB2312" w:hAnsi="仿宋_GB2312" w:eastAsia="仿宋_GB2312" w:cs="仿宋_GB2312"/>
                <w:szCs w:val="21"/>
              </w:rPr>
              <w:t>2.课程组或基层教学组织建设情况，是否有教学研讨制度，是否定期集体备课。</w:t>
            </w:r>
          </w:p>
        </w:tc>
      </w:tr>
      <w:tr w14:paraId="4BEB9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4" w:hRule="atLeast"/>
          <w:jc w:val="center"/>
        </w:trPr>
        <w:tc>
          <w:tcPr>
            <w:tcW w:w="482" w:type="pct"/>
            <w:vMerge w:val="continue"/>
            <w:vAlign w:val="center"/>
          </w:tcPr>
          <w:p w14:paraId="43E7F776">
            <w:pPr>
              <w:rPr>
                <w:rFonts w:hint="eastAsia" w:ascii="仿宋_GB2312" w:hAnsi="仿宋_GB2312" w:eastAsia="仿宋_GB2312" w:cs="仿宋_GB2312"/>
                <w:szCs w:val="21"/>
              </w:rPr>
            </w:pPr>
          </w:p>
        </w:tc>
        <w:tc>
          <w:tcPr>
            <w:tcW w:w="470" w:type="pct"/>
            <w:vMerge w:val="restart"/>
            <w:vAlign w:val="center"/>
          </w:tcPr>
          <w:p w14:paraId="350D35EC">
            <w:pPr>
              <w:rPr>
                <w:rFonts w:hint="eastAsia" w:ascii="仿宋_GB2312" w:hAnsi="仿宋_GB2312" w:eastAsia="仿宋_GB2312" w:cs="仿宋_GB2312"/>
                <w:szCs w:val="21"/>
              </w:rPr>
            </w:pPr>
            <w:r>
              <w:rPr>
                <w:rFonts w:hint="eastAsia" w:ascii="仿宋_GB2312" w:hAnsi="仿宋_GB2312" w:eastAsia="仿宋_GB2312" w:cs="仿宋_GB2312"/>
                <w:szCs w:val="21"/>
              </w:rPr>
              <w:t>3.4 学生发展与支持</w:t>
            </w:r>
          </w:p>
        </w:tc>
        <w:tc>
          <w:tcPr>
            <w:tcW w:w="727" w:type="pct"/>
            <w:vAlign w:val="center"/>
          </w:tcPr>
          <w:p w14:paraId="56DA6038">
            <w:pPr>
              <w:rPr>
                <w:rFonts w:hint="eastAsia" w:ascii="仿宋_GB2312" w:hAnsi="仿宋_GB2312" w:eastAsia="仿宋_GB2312" w:cs="仿宋_GB2312"/>
                <w:szCs w:val="21"/>
              </w:rPr>
            </w:pPr>
            <w:r>
              <w:rPr>
                <w:rFonts w:hint="eastAsia" w:ascii="仿宋_GB2312" w:hAnsi="仿宋_GB2312" w:eastAsia="仿宋_GB2312" w:cs="仿宋_GB2312"/>
                <w:szCs w:val="21"/>
              </w:rPr>
              <w:t>3.4.1 面向农村和贫困地区、民族地区等以及“强基计划”的招生、培养举措与实施成效</w:t>
            </w:r>
          </w:p>
        </w:tc>
        <w:tc>
          <w:tcPr>
            <w:tcW w:w="3321" w:type="pct"/>
            <w:vAlign w:val="center"/>
          </w:tcPr>
          <w:p w14:paraId="76F39059">
            <w:pPr>
              <w:rPr>
                <w:rFonts w:hint="eastAsia" w:ascii="仿宋_GB2312" w:hAnsi="仿宋_GB2312" w:eastAsia="仿宋_GB2312" w:cs="仿宋_GB2312"/>
                <w:szCs w:val="21"/>
              </w:rPr>
            </w:pPr>
            <w:r>
              <w:rPr>
                <w:rFonts w:hint="eastAsia" w:ascii="仿宋_GB2312" w:hAnsi="仿宋_GB2312" w:eastAsia="仿宋_GB2312" w:cs="仿宋_GB2312"/>
                <w:szCs w:val="21"/>
              </w:rPr>
              <w:t>1.学院重视招生宣传、新生教育、专业教育等工作，提高生源质量和专业稳定性。学院能采取有效措施吸引优秀考生，提高生源质量。</w:t>
            </w:r>
          </w:p>
          <w:p w14:paraId="49B82559">
            <w:pPr>
              <w:rPr>
                <w:rFonts w:hint="eastAsia" w:ascii="仿宋_GB2312" w:hAnsi="仿宋_GB2312" w:eastAsia="仿宋_GB2312" w:cs="仿宋_GB2312"/>
                <w:szCs w:val="21"/>
              </w:rPr>
            </w:pPr>
            <w:r>
              <w:rPr>
                <w:rFonts w:hint="eastAsia" w:ascii="仿宋_GB2312" w:hAnsi="仿宋_GB2312" w:eastAsia="仿宋_GB2312" w:cs="仿宋_GB2312"/>
                <w:szCs w:val="21"/>
              </w:rPr>
              <w:t>2.学院有针对面向农村和贫困地区、民族地区以及“强基计划”（部分学院）等学生因材施教培养的举措与成效。</w:t>
            </w:r>
          </w:p>
        </w:tc>
      </w:tr>
      <w:tr w14:paraId="1F7BA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482" w:type="pct"/>
            <w:vMerge w:val="continue"/>
            <w:vAlign w:val="center"/>
          </w:tcPr>
          <w:p w14:paraId="1FE8E619">
            <w:pPr>
              <w:rPr>
                <w:rFonts w:hint="eastAsia" w:ascii="仿宋_GB2312" w:hAnsi="仿宋_GB2312" w:eastAsia="仿宋_GB2312" w:cs="仿宋_GB2312"/>
                <w:szCs w:val="21"/>
              </w:rPr>
            </w:pPr>
          </w:p>
        </w:tc>
        <w:tc>
          <w:tcPr>
            <w:tcW w:w="470" w:type="pct"/>
            <w:vMerge w:val="continue"/>
            <w:vAlign w:val="center"/>
          </w:tcPr>
          <w:p w14:paraId="44D008E0">
            <w:pPr>
              <w:rPr>
                <w:rFonts w:hint="eastAsia" w:ascii="仿宋_GB2312" w:hAnsi="仿宋_GB2312" w:eastAsia="仿宋_GB2312" w:cs="仿宋_GB2312"/>
                <w:szCs w:val="21"/>
              </w:rPr>
            </w:pPr>
          </w:p>
        </w:tc>
        <w:tc>
          <w:tcPr>
            <w:tcW w:w="727" w:type="pct"/>
            <w:vAlign w:val="center"/>
          </w:tcPr>
          <w:p w14:paraId="7BF15143">
            <w:pPr>
              <w:rPr>
                <w:rFonts w:hint="eastAsia" w:ascii="仿宋_GB2312" w:hAnsi="仿宋_GB2312" w:eastAsia="仿宋_GB2312" w:cs="仿宋_GB2312"/>
                <w:szCs w:val="21"/>
              </w:rPr>
            </w:pPr>
            <w:r>
              <w:rPr>
                <w:rFonts w:hint="eastAsia" w:ascii="仿宋_GB2312" w:hAnsi="仿宋_GB2312" w:eastAsia="仿宋_GB2312" w:cs="仿宋_GB2312"/>
                <w:szCs w:val="21"/>
              </w:rPr>
              <w:t>3.4.2 促进学生德智体美劳全面发展，建立系统化的学生发展和学业指导体系，探索学生成长增值评价，重视学生学习体验、自我发展能力和职业发展能力的具体措施及实施成效</w:t>
            </w:r>
          </w:p>
        </w:tc>
        <w:tc>
          <w:tcPr>
            <w:tcW w:w="3321" w:type="pct"/>
            <w:vAlign w:val="center"/>
          </w:tcPr>
          <w:p w14:paraId="5F34D531">
            <w:pPr>
              <w:rPr>
                <w:rFonts w:hint="eastAsia" w:ascii="仿宋_GB2312" w:hAnsi="仿宋_GB2312" w:eastAsia="仿宋_GB2312" w:cs="仿宋_GB2312"/>
                <w:szCs w:val="21"/>
              </w:rPr>
            </w:pPr>
            <w:r>
              <w:rPr>
                <w:rFonts w:hint="eastAsia" w:ascii="仿宋_GB2312" w:hAnsi="仿宋_GB2312" w:eastAsia="仿宋_GB2312" w:cs="仿宋_GB2312"/>
                <w:szCs w:val="21"/>
              </w:rPr>
              <w:t>1.学院推进学生德智体美劳“五育”教育的情况，有学生发展方面的制度文件、政策。学生学业成绩和综合素质是否有提升。</w:t>
            </w:r>
          </w:p>
          <w:p w14:paraId="62791CC7">
            <w:pPr>
              <w:rPr>
                <w:rFonts w:hint="eastAsia" w:ascii="仿宋_GB2312" w:hAnsi="仿宋_GB2312" w:eastAsia="仿宋_GB2312" w:cs="仿宋_GB2312"/>
                <w:szCs w:val="21"/>
              </w:rPr>
            </w:pPr>
            <w:r>
              <w:rPr>
                <w:rFonts w:hint="eastAsia" w:ascii="仿宋_GB2312" w:hAnsi="仿宋_GB2312" w:eastAsia="仿宋_GB2312" w:cs="仿宋_GB2312"/>
                <w:szCs w:val="21"/>
              </w:rPr>
              <w:t>2.学院关心每个学生，重视学生学习体验、自我发展能力和职业发展能力，把促进学生健康成长作为工作的出发点和落脚点。</w:t>
            </w:r>
          </w:p>
          <w:p w14:paraId="3BC887FE">
            <w:pPr>
              <w:rPr>
                <w:rFonts w:hint="eastAsia" w:ascii="仿宋_GB2312" w:hAnsi="仿宋_GB2312" w:eastAsia="仿宋_GB2312" w:cs="仿宋_GB2312"/>
                <w:szCs w:val="21"/>
              </w:rPr>
            </w:pPr>
            <w:r>
              <w:rPr>
                <w:rFonts w:hint="eastAsia" w:ascii="仿宋_GB2312" w:hAnsi="仿宋_GB2312" w:eastAsia="仿宋_GB2312" w:cs="仿宋_GB2312"/>
                <w:szCs w:val="21"/>
              </w:rPr>
              <w:t>3.学院推进过程性考核，探索学生成长增值评价，重视学生学习过程，通过学生学习全过程的学情分析，实现学生的个性化教育的情况。</w:t>
            </w:r>
          </w:p>
          <w:p w14:paraId="7576CB72">
            <w:pPr>
              <w:rPr>
                <w:rFonts w:hint="eastAsia" w:ascii="仿宋_GB2312" w:hAnsi="仿宋_GB2312" w:eastAsia="仿宋_GB2312" w:cs="仿宋_GB2312"/>
                <w:szCs w:val="21"/>
              </w:rPr>
            </w:pPr>
            <w:r>
              <w:rPr>
                <w:rFonts w:hint="eastAsia" w:ascii="仿宋_GB2312" w:hAnsi="仿宋_GB2312" w:eastAsia="仿宋_GB2312" w:cs="仿宋_GB2312"/>
                <w:szCs w:val="21"/>
              </w:rPr>
              <w:t>4.是否建立任课教师、班主任和辅导员的定期交流机制，是否针对重难点课程开展定期研判和推动课程学习的关键问题解决；是否落实学业预警机制，结合考试节点开展考风考纪警示教育。</w:t>
            </w:r>
          </w:p>
          <w:p w14:paraId="522CD4CE">
            <w:pPr>
              <w:rPr>
                <w:rFonts w:hint="eastAsia" w:ascii="仿宋_GB2312" w:hAnsi="仿宋_GB2312" w:eastAsia="仿宋_GB2312" w:cs="仿宋_GB2312"/>
                <w:szCs w:val="21"/>
              </w:rPr>
            </w:pPr>
            <w:r>
              <w:rPr>
                <w:rFonts w:hint="eastAsia" w:ascii="仿宋_GB2312" w:hAnsi="仿宋_GB2312" w:eastAsia="仿宋_GB2312" w:cs="仿宋_GB2312"/>
                <w:szCs w:val="21"/>
              </w:rPr>
              <w:t>5.学院加强教师在大学生竞赛、大创项目、开放性实验项目和学生课外科技创新实践活动等的指导，扩大学生参与面，提高学生创新、创业能力培养效果的情况。</w:t>
            </w:r>
          </w:p>
          <w:p w14:paraId="08DD3D39">
            <w:pPr>
              <w:rPr>
                <w:rFonts w:hint="eastAsia" w:ascii="仿宋_GB2312" w:hAnsi="仿宋_GB2312" w:eastAsia="仿宋_GB2312" w:cs="仿宋_GB2312"/>
                <w:szCs w:val="21"/>
              </w:rPr>
            </w:pPr>
            <w:r>
              <w:rPr>
                <w:rFonts w:hint="eastAsia" w:ascii="仿宋_GB2312" w:hAnsi="仿宋_GB2312" w:eastAsia="仿宋_GB2312" w:cs="仿宋_GB2312"/>
                <w:szCs w:val="21"/>
              </w:rPr>
              <w:t>6.学生指导帮扶体系健全，名师班主任、学生辅导员等配备符合国家要求，开展的具体工作和效果。</w:t>
            </w:r>
          </w:p>
          <w:p w14:paraId="138DF594">
            <w:pPr>
              <w:rPr>
                <w:rFonts w:hint="eastAsia" w:ascii="仿宋_GB2312" w:hAnsi="仿宋_GB2312" w:eastAsia="仿宋_GB2312" w:cs="仿宋_GB2312"/>
                <w:szCs w:val="21"/>
              </w:rPr>
            </w:pPr>
            <w:r>
              <w:rPr>
                <w:rFonts w:hint="eastAsia" w:ascii="仿宋_GB2312" w:hAnsi="仿宋_GB2312" w:eastAsia="仿宋_GB2312" w:cs="仿宋_GB2312"/>
                <w:szCs w:val="21"/>
              </w:rPr>
              <w:t>7.学院鼓励广大教师积极参与学生指导，关爱学生，形成教师与学生的交流沟通机制。</w:t>
            </w:r>
          </w:p>
          <w:p w14:paraId="75821AA5">
            <w:pPr>
              <w:rPr>
                <w:rFonts w:hint="eastAsia" w:ascii="仿宋_GB2312" w:hAnsi="仿宋_GB2312" w:eastAsia="仿宋_GB2312" w:cs="仿宋_GB2312"/>
                <w:szCs w:val="21"/>
              </w:rPr>
            </w:pPr>
            <w:r>
              <w:rPr>
                <w:rFonts w:hint="eastAsia" w:ascii="仿宋_GB2312" w:hAnsi="仿宋_GB2312" w:eastAsia="仿宋_GB2312" w:cs="仿宋_GB2312"/>
                <w:szCs w:val="21"/>
              </w:rPr>
              <w:t>8.学院开展学生学习指导、专业选择、课程选择、职业生涯规划指导、创业教育指导、就业指导、心理健康咨询、贫困生资助等情况，学生对上述指导的满意度。</w:t>
            </w:r>
          </w:p>
          <w:p w14:paraId="485D527B">
            <w:pPr>
              <w:rPr>
                <w:rFonts w:hint="eastAsia" w:ascii="仿宋_GB2312" w:hAnsi="仿宋_GB2312" w:eastAsia="仿宋_GB2312" w:cs="仿宋_GB2312"/>
                <w:szCs w:val="21"/>
              </w:rPr>
            </w:pPr>
            <w:r>
              <w:rPr>
                <w:rFonts w:hint="eastAsia" w:ascii="仿宋_GB2312" w:hAnsi="仿宋_GB2312" w:eastAsia="仿宋_GB2312" w:cs="仿宋_GB2312"/>
                <w:szCs w:val="21"/>
              </w:rPr>
              <w:t>9.学院建立毕业生跟踪调查机制，通过毕业生调查，了解人才培养质量，促进专业调整和教学改革。</w:t>
            </w:r>
          </w:p>
          <w:p w14:paraId="49F01A0F">
            <w:pPr>
              <w:rPr>
                <w:rFonts w:hint="eastAsia" w:ascii="仿宋_GB2312" w:hAnsi="仿宋_GB2312" w:eastAsia="仿宋_GB2312" w:cs="仿宋_GB2312"/>
                <w:szCs w:val="21"/>
              </w:rPr>
            </w:pPr>
            <w:r>
              <w:rPr>
                <w:rFonts w:hint="eastAsia" w:ascii="仿宋_GB2312" w:hAnsi="仿宋_GB2312" w:eastAsia="仿宋_GB2312" w:cs="仿宋_GB2312"/>
                <w:szCs w:val="21"/>
              </w:rPr>
              <w:t>10.学生对自我学习与成长的满意度如何，学院是否重视学生对自我学习和成长的感受，是否建立学生对自我学习和成长的评价机制。</w:t>
            </w:r>
          </w:p>
          <w:p w14:paraId="7101977C">
            <w:pPr>
              <w:rPr>
                <w:rFonts w:hint="eastAsia" w:ascii="仿宋_GB2312" w:hAnsi="仿宋_GB2312" w:eastAsia="仿宋_GB2312" w:cs="仿宋_GB2312"/>
                <w:szCs w:val="21"/>
              </w:rPr>
            </w:pPr>
            <w:r>
              <w:rPr>
                <w:rFonts w:hint="eastAsia" w:ascii="仿宋_GB2312" w:hAnsi="仿宋_GB2312" w:eastAsia="仿宋_GB2312" w:cs="仿宋_GB2312"/>
                <w:szCs w:val="21"/>
              </w:rPr>
              <w:t>11.学生参加国家级省部级以上学科类竞赛获奖成果。</w:t>
            </w:r>
          </w:p>
          <w:p w14:paraId="1B65A147">
            <w:pPr>
              <w:rPr>
                <w:rFonts w:hint="eastAsia" w:ascii="仿宋_GB2312" w:hAnsi="仿宋_GB2312" w:eastAsia="仿宋_GB2312" w:cs="仿宋_GB2312"/>
                <w:szCs w:val="21"/>
              </w:rPr>
            </w:pPr>
            <w:r>
              <w:rPr>
                <w:rFonts w:hint="eastAsia" w:ascii="仿宋_GB2312" w:hAnsi="仿宋_GB2312" w:eastAsia="仿宋_GB2312" w:cs="仿宋_GB2312"/>
                <w:szCs w:val="21"/>
              </w:rPr>
              <w:t>12.学院重视实践教学体系设计，内容及时更新，符合培养目标要求。实践教学大纲完善，考核方式方法科学，专业实习实训、社会实践如实开展，能否满足学生专业实践教学需要，学生实践能力有效提高。</w:t>
            </w:r>
          </w:p>
          <w:p w14:paraId="369575C5">
            <w:pPr>
              <w:rPr>
                <w:rFonts w:hint="eastAsia" w:ascii="仿宋_GB2312" w:hAnsi="仿宋_GB2312" w:eastAsia="仿宋_GB2312" w:cs="仿宋_GB2312"/>
                <w:szCs w:val="21"/>
              </w:rPr>
            </w:pPr>
            <w:r>
              <w:rPr>
                <w:rFonts w:hint="eastAsia" w:ascii="仿宋_GB2312" w:hAnsi="仿宋_GB2312" w:eastAsia="仿宋_GB2312" w:cs="仿宋_GB2312"/>
                <w:szCs w:val="21"/>
              </w:rPr>
              <w:t>13.学院高度重视毕业论文（设计）的质量，加强前中后期监督检查，加强教师的过程指导，建立过程指导档案。设计或论文质量好，学生能力有所提升。</w:t>
            </w:r>
          </w:p>
          <w:p w14:paraId="4C598FDF">
            <w:pPr>
              <w:rPr>
                <w:rFonts w:hint="eastAsia" w:ascii="仿宋_GB2312" w:hAnsi="仿宋_GB2312" w:eastAsia="仿宋_GB2312" w:cs="仿宋_GB2312"/>
                <w:szCs w:val="21"/>
              </w:rPr>
            </w:pPr>
            <w:r>
              <w:rPr>
                <w:rFonts w:hint="eastAsia" w:ascii="仿宋_GB2312" w:hAnsi="仿宋_GB2312" w:eastAsia="仿宋_GB2312" w:cs="仿宋_GB2312"/>
                <w:szCs w:val="21"/>
              </w:rPr>
              <w:t>14.学院有鼓励、促进学生积极参加第二课堂的政策和措施，实施效果如何。学院学生体质测试情况如何，在国内外文艺、体育、艺术等大赛中的获奖情况如何。学生国内外交流学习学生数、交流高校、国家及学习情况如何。</w:t>
            </w:r>
          </w:p>
        </w:tc>
      </w:tr>
      <w:tr w14:paraId="7C63B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atLeast"/>
          <w:jc w:val="center"/>
        </w:trPr>
        <w:tc>
          <w:tcPr>
            <w:tcW w:w="482" w:type="pct"/>
            <w:vMerge w:val="continue"/>
            <w:vAlign w:val="center"/>
          </w:tcPr>
          <w:p w14:paraId="4AF16450">
            <w:pPr>
              <w:rPr>
                <w:rFonts w:hint="eastAsia" w:ascii="仿宋_GB2312" w:hAnsi="仿宋_GB2312" w:eastAsia="仿宋_GB2312" w:cs="仿宋_GB2312"/>
                <w:szCs w:val="21"/>
              </w:rPr>
            </w:pPr>
          </w:p>
        </w:tc>
        <w:tc>
          <w:tcPr>
            <w:tcW w:w="470" w:type="pct"/>
            <w:vMerge w:val="continue"/>
            <w:vAlign w:val="center"/>
          </w:tcPr>
          <w:p w14:paraId="29A239D0">
            <w:pPr>
              <w:rPr>
                <w:rFonts w:hint="eastAsia" w:ascii="仿宋_GB2312" w:hAnsi="仿宋_GB2312" w:eastAsia="仿宋_GB2312" w:cs="仿宋_GB2312"/>
                <w:szCs w:val="21"/>
              </w:rPr>
            </w:pPr>
          </w:p>
        </w:tc>
        <w:tc>
          <w:tcPr>
            <w:tcW w:w="727" w:type="pct"/>
            <w:vAlign w:val="center"/>
          </w:tcPr>
          <w:p w14:paraId="4F90B7DA">
            <w:pPr>
              <w:rPr>
                <w:rFonts w:hint="eastAsia" w:ascii="仿宋_GB2312" w:hAnsi="仿宋_GB2312" w:eastAsia="仿宋_GB2312" w:cs="仿宋_GB2312"/>
                <w:szCs w:val="21"/>
              </w:rPr>
            </w:pPr>
            <w:r>
              <w:rPr>
                <w:rFonts w:hint="eastAsia" w:ascii="仿宋_GB2312" w:hAnsi="仿宋_GB2312" w:eastAsia="仿宋_GB2312" w:cs="仿宋_GB2312"/>
                <w:szCs w:val="21"/>
              </w:rPr>
              <w:t>3.4.3 近五年专业领域的优秀毕业生十个典型案例及培养经验</w:t>
            </w:r>
          </w:p>
        </w:tc>
        <w:tc>
          <w:tcPr>
            <w:tcW w:w="3321" w:type="pct"/>
            <w:vAlign w:val="center"/>
          </w:tcPr>
          <w:p w14:paraId="423F4025">
            <w:pPr>
              <w:rPr>
                <w:rFonts w:hint="eastAsia" w:ascii="仿宋_GB2312" w:hAnsi="仿宋_GB2312" w:eastAsia="仿宋_GB2312" w:cs="仿宋_GB2312"/>
                <w:szCs w:val="21"/>
              </w:rPr>
            </w:pPr>
          </w:p>
        </w:tc>
      </w:tr>
      <w:tr w14:paraId="5DD4E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 w:type="pct"/>
            <w:vMerge w:val="continue"/>
            <w:vAlign w:val="center"/>
          </w:tcPr>
          <w:p w14:paraId="0EBE7A33">
            <w:pPr>
              <w:rPr>
                <w:rFonts w:hint="eastAsia" w:ascii="仿宋_GB2312" w:hAnsi="仿宋_GB2312" w:eastAsia="仿宋_GB2312" w:cs="仿宋_GB2312"/>
                <w:szCs w:val="21"/>
              </w:rPr>
            </w:pPr>
          </w:p>
        </w:tc>
        <w:tc>
          <w:tcPr>
            <w:tcW w:w="470" w:type="pct"/>
            <w:vMerge w:val="restart"/>
            <w:vAlign w:val="center"/>
          </w:tcPr>
          <w:p w14:paraId="3C62AE0D">
            <w:pPr>
              <w:rPr>
                <w:rFonts w:hint="eastAsia" w:ascii="仿宋_GB2312" w:hAnsi="仿宋_GB2312" w:eastAsia="仿宋_GB2312" w:cs="仿宋_GB2312"/>
                <w:szCs w:val="21"/>
              </w:rPr>
            </w:pPr>
            <w:r>
              <w:rPr>
                <w:rFonts w:hint="eastAsia" w:ascii="仿宋_GB2312" w:hAnsi="仿宋_GB2312" w:eastAsia="仿宋_GB2312" w:cs="仿宋_GB2312"/>
                <w:szCs w:val="21"/>
              </w:rPr>
              <w:t>3.5 卓越教学</w:t>
            </w:r>
          </w:p>
        </w:tc>
        <w:tc>
          <w:tcPr>
            <w:tcW w:w="727" w:type="pct"/>
            <w:vAlign w:val="center"/>
          </w:tcPr>
          <w:p w14:paraId="30BBF30E">
            <w:pPr>
              <w:rPr>
                <w:rFonts w:hint="eastAsia" w:ascii="仿宋_GB2312" w:hAnsi="仿宋_GB2312" w:eastAsia="仿宋_GB2312" w:cs="仿宋_GB2312"/>
                <w:szCs w:val="21"/>
              </w:rPr>
            </w:pPr>
            <w:r>
              <w:rPr>
                <w:rFonts w:hint="eastAsia" w:ascii="仿宋_GB2312" w:hAnsi="仿宋_GB2312" w:eastAsia="仿宋_GB2312" w:cs="仿宋_GB2312"/>
                <w:szCs w:val="21"/>
              </w:rPr>
              <w:t>3.5.1 实施“六卓越一拔尖”人才培养计划2.0、新工科、新农科、新医科、新文科建设以及一流专业“双万计划”、一流课程“双万计划”建设等举措及实施成效，围绕“培育高水平教学成果”开展教研教改项目建设的举措及实施成效</w:t>
            </w:r>
          </w:p>
        </w:tc>
        <w:tc>
          <w:tcPr>
            <w:tcW w:w="3321" w:type="pct"/>
            <w:vAlign w:val="center"/>
          </w:tcPr>
          <w:p w14:paraId="0967A5BB">
            <w:pPr>
              <w:rPr>
                <w:rFonts w:hint="eastAsia" w:ascii="仿宋_GB2312" w:hAnsi="仿宋_GB2312" w:eastAsia="仿宋_GB2312" w:cs="仿宋_GB2312"/>
                <w:szCs w:val="21"/>
              </w:rPr>
            </w:pPr>
            <w:r>
              <w:rPr>
                <w:rFonts w:hint="eastAsia" w:ascii="仿宋_GB2312" w:hAnsi="仿宋_GB2312" w:eastAsia="仿宋_GB2312" w:cs="仿宋_GB2312"/>
                <w:szCs w:val="21"/>
              </w:rPr>
              <w:t>1.学院是否有专业建设规划。</w:t>
            </w:r>
          </w:p>
          <w:p w14:paraId="4B38C8ED">
            <w:pPr>
              <w:rPr>
                <w:rFonts w:hint="eastAsia" w:ascii="仿宋_GB2312" w:hAnsi="仿宋_GB2312" w:eastAsia="仿宋_GB2312" w:cs="仿宋_GB2312"/>
                <w:szCs w:val="21"/>
              </w:rPr>
            </w:pPr>
            <w:r>
              <w:rPr>
                <w:rFonts w:hint="eastAsia" w:ascii="仿宋_GB2312" w:hAnsi="仿宋_GB2312" w:eastAsia="仿宋_GB2312" w:cs="仿宋_GB2312"/>
                <w:szCs w:val="21"/>
              </w:rPr>
              <w:t>2.学院优势专业、特色专业、新办专业（是指毕业生不足 3 届的专业）的具体建设措施。</w:t>
            </w:r>
          </w:p>
          <w:p w14:paraId="58B06EDE">
            <w:pPr>
              <w:rPr>
                <w:rFonts w:hint="eastAsia" w:ascii="仿宋_GB2312" w:hAnsi="仿宋_GB2312" w:eastAsia="仿宋_GB2312" w:cs="仿宋_GB2312"/>
                <w:szCs w:val="21"/>
              </w:rPr>
            </w:pPr>
            <w:r>
              <w:rPr>
                <w:rFonts w:hint="eastAsia" w:ascii="仿宋_GB2312" w:hAnsi="仿宋_GB2312" w:eastAsia="仿宋_GB2312" w:cs="仿宋_GB2312"/>
                <w:szCs w:val="21"/>
              </w:rPr>
              <w:t>3.学院在四新及一流专业“双万计划”等举措及建设成果。参加国家专业认证的情况。</w:t>
            </w:r>
          </w:p>
          <w:p w14:paraId="22B04131">
            <w:pPr>
              <w:rPr>
                <w:rFonts w:hint="eastAsia" w:ascii="仿宋_GB2312" w:hAnsi="仿宋_GB2312" w:eastAsia="仿宋_GB2312" w:cs="仿宋_GB2312"/>
                <w:szCs w:val="21"/>
              </w:rPr>
            </w:pPr>
            <w:r>
              <w:rPr>
                <w:rFonts w:hint="eastAsia" w:ascii="仿宋_GB2312" w:hAnsi="仿宋_GB2312" w:eastAsia="仿宋_GB2312" w:cs="仿宋_GB2312"/>
                <w:szCs w:val="21"/>
              </w:rPr>
              <w:t>4.学院教学改革的理念和思路，推动教学改革的政策措施，取得的成效。学院教研教改项目、教学成果，及实施情况和取得的成果。</w:t>
            </w:r>
          </w:p>
        </w:tc>
      </w:tr>
      <w:tr w14:paraId="17792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482" w:type="pct"/>
            <w:vMerge w:val="continue"/>
            <w:vAlign w:val="center"/>
          </w:tcPr>
          <w:p w14:paraId="7D4D017B">
            <w:pPr>
              <w:rPr>
                <w:rFonts w:hint="eastAsia" w:ascii="仿宋_GB2312" w:hAnsi="仿宋_GB2312" w:eastAsia="仿宋_GB2312" w:cs="仿宋_GB2312"/>
                <w:szCs w:val="21"/>
              </w:rPr>
            </w:pPr>
          </w:p>
        </w:tc>
        <w:tc>
          <w:tcPr>
            <w:tcW w:w="470" w:type="pct"/>
            <w:vMerge w:val="continue"/>
            <w:vAlign w:val="center"/>
          </w:tcPr>
          <w:p w14:paraId="0E3ECFC9">
            <w:pPr>
              <w:rPr>
                <w:rFonts w:hint="eastAsia" w:ascii="仿宋_GB2312" w:hAnsi="仿宋_GB2312" w:eastAsia="仿宋_GB2312" w:cs="仿宋_GB2312"/>
                <w:szCs w:val="21"/>
              </w:rPr>
            </w:pPr>
          </w:p>
        </w:tc>
        <w:tc>
          <w:tcPr>
            <w:tcW w:w="727" w:type="pct"/>
            <w:vAlign w:val="center"/>
          </w:tcPr>
          <w:p w14:paraId="1AB60E7D">
            <w:pPr>
              <w:rPr>
                <w:rFonts w:hint="eastAsia" w:ascii="仿宋_GB2312" w:hAnsi="仿宋_GB2312" w:eastAsia="仿宋_GB2312" w:cs="仿宋_GB2312"/>
                <w:szCs w:val="21"/>
              </w:rPr>
            </w:pPr>
            <w:r>
              <w:rPr>
                <w:rFonts w:hint="eastAsia" w:ascii="仿宋_GB2312" w:hAnsi="仿宋_GB2312" w:eastAsia="仿宋_GB2312" w:cs="仿宋_GB2312"/>
                <w:szCs w:val="21"/>
              </w:rPr>
              <w:t>3.5.2 推动“以学为中心、以教为主导”的课堂教学改革，推进信息技术与教学过程融合，加强线上教学资源建设，提高课程高阶性、创新性和挑战度的举措与实施成效</w:t>
            </w:r>
          </w:p>
        </w:tc>
        <w:tc>
          <w:tcPr>
            <w:tcW w:w="3321" w:type="pct"/>
            <w:vAlign w:val="center"/>
          </w:tcPr>
          <w:p w14:paraId="035DB496">
            <w:pPr>
              <w:rPr>
                <w:rFonts w:hint="eastAsia" w:ascii="仿宋_GB2312" w:hAnsi="仿宋_GB2312" w:eastAsia="仿宋_GB2312" w:cs="仿宋_GB2312"/>
                <w:szCs w:val="21"/>
              </w:rPr>
            </w:pPr>
            <w:r>
              <w:rPr>
                <w:rFonts w:hint="eastAsia" w:ascii="仿宋_GB2312" w:hAnsi="仿宋_GB2312" w:eastAsia="仿宋_GB2312" w:cs="仿宋_GB2312"/>
                <w:szCs w:val="21"/>
              </w:rPr>
              <w:t>1.学院是否有“以学为中心”的课堂教学改革举措，课程建设规划。</w:t>
            </w:r>
          </w:p>
          <w:p w14:paraId="22C13D9E">
            <w:pPr>
              <w:rPr>
                <w:rFonts w:hint="eastAsia" w:ascii="仿宋_GB2312" w:hAnsi="仿宋_GB2312" w:eastAsia="仿宋_GB2312" w:cs="仿宋_GB2312"/>
                <w:szCs w:val="21"/>
              </w:rPr>
            </w:pPr>
            <w:r>
              <w:rPr>
                <w:rFonts w:hint="eastAsia" w:ascii="仿宋_GB2312" w:hAnsi="仿宋_GB2312" w:eastAsia="仿宋_GB2312" w:cs="仿宋_GB2312"/>
                <w:szCs w:val="21"/>
              </w:rPr>
              <w:t>2.学院推进信息技术与教学过程融合，建设具有高阶性、创新性和挑战度的线上、线下、线上线下混合、虚拟仿真和社会实践“金课”的举措与取得的成效。一流课程“双万计划”建设、精品课程等优质课程资源建设成效。</w:t>
            </w:r>
          </w:p>
          <w:p w14:paraId="33E244EF">
            <w:pPr>
              <w:rPr>
                <w:rFonts w:hint="eastAsia" w:ascii="仿宋_GB2312" w:hAnsi="仿宋_GB2312" w:eastAsia="仿宋_GB2312" w:cs="仿宋_GB2312"/>
                <w:szCs w:val="21"/>
              </w:rPr>
            </w:pPr>
            <w:r>
              <w:rPr>
                <w:rFonts w:hint="eastAsia" w:ascii="仿宋_GB2312" w:hAnsi="仿宋_GB2312" w:eastAsia="仿宋_GB2312" w:cs="仿宋_GB2312"/>
                <w:szCs w:val="21"/>
              </w:rPr>
              <w:t>3.推动互联网、大数据、人工智能、虚拟现实等现代技术在教学和管理中的应用情况。</w:t>
            </w:r>
          </w:p>
          <w:p w14:paraId="66887544">
            <w:pPr>
              <w:rPr>
                <w:rFonts w:hint="eastAsia" w:ascii="仿宋_GB2312" w:hAnsi="仿宋_GB2312" w:eastAsia="仿宋_GB2312" w:cs="仿宋_GB2312"/>
                <w:szCs w:val="21"/>
              </w:rPr>
            </w:pPr>
            <w:r>
              <w:rPr>
                <w:rFonts w:hint="eastAsia" w:ascii="仿宋_GB2312" w:hAnsi="仿宋_GB2312" w:eastAsia="仿宋_GB2312" w:cs="仿宋_GB2312"/>
                <w:szCs w:val="21"/>
              </w:rPr>
              <w:t>4.课堂教学是否体现以学生为中心，根据学生需求和能力培养需要，改革教学方法与手段，促进学生创新能力和自主学习能力的培养。</w:t>
            </w:r>
          </w:p>
          <w:p w14:paraId="35B6E47E">
            <w:pPr>
              <w:rPr>
                <w:rFonts w:hint="eastAsia" w:ascii="仿宋_GB2312" w:hAnsi="仿宋_GB2312" w:eastAsia="仿宋_GB2312" w:cs="仿宋_GB2312"/>
                <w:szCs w:val="21"/>
              </w:rPr>
            </w:pPr>
            <w:r>
              <w:rPr>
                <w:rFonts w:hint="eastAsia" w:ascii="仿宋_GB2312" w:hAnsi="仿宋_GB2312" w:eastAsia="仿宋_GB2312" w:cs="仿宋_GB2312"/>
                <w:szCs w:val="21"/>
              </w:rPr>
              <w:t>5.是否正确把握、精准分析学生的思想动态与学习需求，加强教学工作的顶层设计，构建立体化、多元化的教学内容体系，做到精准供给。</w:t>
            </w:r>
          </w:p>
          <w:p w14:paraId="73E9212C">
            <w:pPr>
              <w:rPr>
                <w:rFonts w:hint="eastAsia" w:ascii="仿宋_GB2312" w:hAnsi="仿宋_GB2312" w:eastAsia="仿宋_GB2312" w:cs="仿宋_GB2312"/>
                <w:szCs w:val="21"/>
              </w:rPr>
            </w:pPr>
            <w:r>
              <w:rPr>
                <w:rFonts w:hint="eastAsia" w:ascii="仿宋_GB2312" w:hAnsi="仿宋_GB2312" w:eastAsia="仿宋_GB2312" w:cs="仿宋_GB2312"/>
                <w:szCs w:val="21"/>
              </w:rPr>
              <w:t>6.科研资源是否向本科生开放。最新科研成果及学科前沿知识是否融入教学。</w:t>
            </w:r>
          </w:p>
        </w:tc>
      </w:tr>
      <w:tr w14:paraId="691AC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 w:type="pct"/>
            <w:vMerge w:val="continue"/>
            <w:vAlign w:val="center"/>
          </w:tcPr>
          <w:p w14:paraId="3DFF44D0">
            <w:pPr>
              <w:rPr>
                <w:rFonts w:hint="eastAsia" w:ascii="仿宋_GB2312" w:hAnsi="仿宋_GB2312" w:eastAsia="仿宋_GB2312" w:cs="仿宋_GB2312"/>
                <w:szCs w:val="21"/>
              </w:rPr>
            </w:pPr>
          </w:p>
        </w:tc>
        <w:tc>
          <w:tcPr>
            <w:tcW w:w="470" w:type="pct"/>
            <w:vMerge w:val="continue"/>
            <w:vAlign w:val="center"/>
          </w:tcPr>
          <w:p w14:paraId="04FFB18A">
            <w:pPr>
              <w:rPr>
                <w:rFonts w:hint="eastAsia" w:ascii="仿宋_GB2312" w:hAnsi="仿宋_GB2312" w:eastAsia="仿宋_GB2312" w:cs="仿宋_GB2312"/>
                <w:szCs w:val="21"/>
              </w:rPr>
            </w:pPr>
          </w:p>
        </w:tc>
        <w:tc>
          <w:tcPr>
            <w:tcW w:w="727" w:type="pct"/>
            <w:tcBorders>
              <w:bottom w:val="single" w:color="auto" w:sz="4" w:space="0"/>
            </w:tcBorders>
            <w:vAlign w:val="center"/>
          </w:tcPr>
          <w:p w14:paraId="604AA3AB">
            <w:pPr>
              <w:rPr>
                <w:rFonts w:hint="eastAsia" w:ascii="仿宋_GB2312" w:hAnsi="仿宋_GB2312" w:eastAsia="仿宋_GB2312" w:cs="仿宋_GB2312"/>
                <w:szCs w:val="21"/>
              </w:rPr>
            </w:pPr>
            <w:r>
              <w:rPr>
                <w:rFonts w:hint="eastAsia" w:ascii="仿宋_GB2312" w:hAnsi="仿宋_GB2312" w:eastAsia="仿宋_GB2312" w:cs="仿宋_GB2312"/>
                <w:szCs w:val="21"/>
              </w:rPr>
              <w:t>3.5.3 学校党委高度重视教材建设与管理工作，相关工作机构、工作制度健全，教材审核选用标准和程序明确有效；对教材选用工作出现负面问题的处理情况</w:t>
            </w:r>
          </w:p>
        </w:tc>
        <w:tc>
          <w:tcPr>
            <w:tcW w:w="3321" w:type="pct"/>
            <w:tcBorders>
              <w:bottom w:val="single" w:color="auto" w:sz="4" w:space="0"/>
            </w:tcBorders>
            <w:vAlign w:val="center"/>
          </w:tcPr>
          <w:p w14:paraId="20CADEC8">
            <w:pPr>
              <w:rPr>
                <w:rFonts w:hint="eastAsia" w:ascii="仿宋_GB2312" w:hAnsi="仿宋_GB2312" w:eastAsia="仿宋_GB2312" w:cs="仿宋_GB2312"/>
                <w:szCs w:val="21"/>
              </w:rPr>
            </w:pPr>
            <w:r>
              <w:rPr>
                <w:rFonts w:hint="eastAsia" w:ascii="仿宋_GB2312" w:hAnsi="仿宋_GB2312" w:eastAsia="仿宋_GB2312" w:cs="仿宋_GB2312"/>
                <w:szCs w:val="21"/>
              </w:rPr>
              <w:t>1.学院是否重视教材建设与管理工作，把坚持和维护中国共产党的领导放在教材的内容拣选与编排设计的突出位置，教材审核选用标准和程序明确有效，教材选用有监督机制。</w:t>
            </w:r>
          </w:p>
          <w:p w14:paraId="73F71DD9">
            <w:pPr>
              <w:rPr>
                <w:rFonts w:hint="eastAsia" w:ascii="仿宋_GB2312" w:hAnsi="仿宋_GB2312" w:eastAsia="仿宋_GB2312" w:cs="仿宋_GB2312"/>
                <w:szCs w:val="21"/>
              </w:rPr>
            </w:pPr>
            <w:r>
              <w:rPr>
                <w:rFonts w:hint="eastAsia" w:ascii="仿宋_GB2312" w:hAnsi="仿宋_GB2312" w:eastAsia="仿宋_GB2312" w:cs="仿宋_GB2312"/>
                <w:szCs w:val="21"/>
              </w:rPr>
              <w:t>2.教材选用整体水平和使用效果如何。国家级规划教材或省部级（含）以上奖励的教材成果如何。</w:t>
            </w:r>
          </w:p>
          <w:p w14:paraId="1ED55E3E">
            <w:pPr>
              <w:rPr>
                <w:rFonts w:hint="eastAsia" w:ascii="仿宋_GB2312" w:hAnsi="仿宋_GB2312" w:eastAsia="仿宋_GB2312" w:cs="仿宋_GB2312"/>
                <w:szCs w:val="21"/>
              </w:rPr>
            </w:pPr>
            <w:r>
              <w:rPr>
                <w:rFonts w:hint="eastAsia" w:ascii="仿宋_GB2312" w:hAnsi="仿宋_GB2312" w:eastAsia="仿宋_GB2312" w:cs="仿宋_GB2312"/>
                <w:szCs w:val="21"/>
              </w:rPr>
              <w:t>3.在近几年教材选用工作中是否出现负面问题及处理情况。</w:t>
            </w:r>
          </w:p>
          <w:p w14:paraId="367345E4">
            <w:pPr>
              <w:rPr>
                <w:rFonts w:hint="eastAsia" w:ascii="仿宋_GB2312" w:hAnsi="仿宋_GB2312" w:eastAsia="仿宋_GB2312" w:cs="仿宋_GB2312"/>
                <w:szCs w:val="21"/>
              </w:rPr>
            </w:pPr>
            <w:r>
              <w:rPr>
                <w:rFonts w:hint="eastAsia" w:ascii="仿宋_GB2312" w:hAnsi="仿宋_GB2312" w:eastAsia="仿宋_GB2312" w:cs="仿宋_GB2312"/>
                <w:szCs w:val="21"/>
              </w:rPr>
              <w:t>4.各级规划教材立项及结题情况，出版教材的数量、质量及新形态教材的比重。教材建设改革情况（教材基地、课程思政、产教融合、数字化建设等）。</w:t>
            </w:r>
          </w:p>
        </w:tc>
      </w:tr>
      <w:tr w14:paraId="2930D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jc w:val="center"/>
        </w:trPr>
        <w:tc>
          <w:tcPr>
            <w:tcW w:w="482" w:type="pct"/>
            <w:vMerge w:val="continue"/>
            <w:vAlign w:val="center"/>
          </w:tcPr>
          <w:p w14:paraId="3EBC50E5">
            <w:pPr>
              <w:rPr>
                <w:rFonts w:hint="eastAsia" w:ascii="仿宋_GB2312" w:hAnsi="仿宋_GB2312" w:eastAsia="仿宋_GB2312" w:cs="仿宋_GB2312"/>
                <w:szCs w:val="21"/>
              </w:rPr>
            </w:pPr>
          </w:p>
        </w:tc>
        <w:tc>
          <w:tcPr>
            <w:tcW w:w="470" w:type="pct"/>
            <w:vMerge w:val="continue"/>
            <w:vAlign w:val="center"/>
          </w:tcPr>
          <w:p w14:paraId="5978369C">
            <w:pPr>
              <w:rPr>
                <w:rFonts w:hint="eastAsia" w:ascii="仿宋_GB2312" w:hAnsi="仿宋_GB2312" w:eastAsia="仿宋_GB2312" w:cs="仿宋_GB2312"/>
                <w:szCs w:val="21"/>
              </w:rPr>
            </w:pPr>
          </w:p>
        </w:tc>
        <w:tc>
          <w:tcPr>
            <w:tcW w:w="727" w:type="pct"/>
            <w:vAlign w:val="center"/>
          </w:tcPr>
          <w:p w14:paraId="73D3DB35">
            <w:pPr>
              <w:rPr>
                <w:rFonts w:hint="eastAsia" w:ascii="仿宋_GB2312" w:hAnsi="仿宋_GB2312" w:eastAsia="仿宋_GB2312" w:cs="仿宋_GB2312"/>
                <w:szCs w:val="21"/>
              </w:rPr>
            </w:pPr>
            <w:r>
              <w:rPr>
                <w:rFonts w:hint="eastAsia" w:ascii="仿宋_GB2312" w:hAnsi="仿宋_GB2312" w:eastAsia="仿宋_GB2312" w:cs="仿宋_GB2312"/>
                <w:szCs w:val="21"/>
              </w:rPr>
              <w:t>3.5.4 资源建设，特别是优质的学科资源、科研资源转化应用于本科教育教学的情况</w:t>
            </w:r>
          </w:p>
        </w:tc>
        <w:tc>
          <w:tcPr>
            <w:tcW w:w="3321" w:type="pct"/>
            <w:vAlign w:val="center"/>
          </w:tcPr>
          <w:p w14:paraId="16FDBF65">
            <w:pPr>
              <w:rPr>
                <w:rFonts w:hint="eastAsia" w:ascii="仿宋_GB2312" w:hAnsi="仿宋_GB2312" w:eastAsia="仿宋_GB2312" w:cs="仿宋_GB2312"/>
                <w:szCs w:val="21"/>
              </w:rPr>
            </w:pPr>
            <w:r>
              <w:rPr>
                <w:rFonts w:hint="eastAsia" w:ascii="仿宋_GB2312" w:hAnsi="仿宋_GB2312" w:eastAsia="仿宋_GB2312" w:cs="仿宋_GB2312"/>
                <w:szCs w:val="21"/>
              </w:rPr>
              <w:t>1.学院资源建设情况，优质的学科资源、科研资源转化应用于本科教育教学的情况。合作办学、合作育人、共建教学资源的情况如何。</w:t>
            </w:r>
          </w:p>
          <w:p w14:paraId="29EE2A03">
            <w:pPr>
              <w:rPr>
                <w:rFonts w:hint="eastAsia" w:ascii="仿宋_GB2312" w:hAnsi="仿宋_GB2312" w:eastAsia="仿宋_GB2312" w:cs="仿宋_GB2312"/>
                <w:szCs w:val="21"/>
              </w:rPr>
            </w:pPr>
            <w:r>
              <w:rPr>
                <w:rFonts w:hint="eastAsia" w:ascii="仿宋_GB2312" w:hAnsi="仿宋_GB2312" w:eastAsia="仿宋_GB2312" w:cs="仿宋_GB2312"/>
                <w:szCs w:val="21"/>
              </w:rPr>
              <w:t>2.专业平台建设、实验条件、实验队伍建设及安全责任落实情况。</w:t>
            </w:r>
          </w:p>
          <w:p w14:paraId="0BAFDDCB">
            <w:pPr>
              <w:rPr>
                <w:rFonts w:hint="eastAsia" w:ascii="仿宋_GB2312" w:hAnsi="仿宋_GB2312" w:eastAsia="仿宋_GB2312" w:cs="仿宋_GB2312"/>
                <w:color w:val="0000FF"/>
                <w:szCs w:val="21"/>
              </w:rPr>
            </w:pPr>
            <w:r>
              <w:rPr>
                <w:rFonts w:hint="eastAsia" w:ascii="仿宋_GB2312" w:hAnsi="仿宋_GB2312" w:eastAsia="仿宋_GB2312" w:cs="仿宋_GB2312"/>
                <w:szCs w:val="21"/>
              </w:rPr>
              <w:t>3.对实验教学的重视情况，对实验教学场地、实验教学队伍、实验教学经费的支持力度。</w:t>
            </w:r>
          </w:p>
        </w:tc>
      </w:tr>
      <w:tr w14:paraId="2C116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482" w:type="pct"/>
            <w:vMerge w:val="continue"/>
            <w:vAlign w:val="center"/>
          </w:tcPr>
          <w:p w14:paraId="7FBB1715">
            <w:pPr>
              <w:rPr>
                <w:rFonts w:hint="eastAsia" w:ascii="仿宋_GB2312" w:hAnsi="仿宋_GB2312" w:eastAsia="仿宋_GB2312" w:cs="仿宋_GB2312"/>
                <w:szCs w:val="21"/>
              </w:rPr>
            </w:pPr>
          </w:p>
        </w:tc>
        <w:tc>
          <w:tcPr>
            <w:tcW w:w="470" w:type="pct"/>
            <w:vMerge w:val="continue"/>
            <w:vAlign w:val="center"/>
          </w:tcPr>
          <w:p w14:paraId="47717CA3">
            <w:pPr>
              <w:rPr>
                <w:rFonts w:hint="eastAsia" w:ascii="仿宋_GB2312" w:hAnsi="仿宋_GB2312" w:eastAsia="仿宋_GB2312" w:cs="仿宋_GB2312"/>
                <w:szCs w:val="21"/>
              </w:rPr>
            </w:pPr>
          </w:p>
        </w:tc>
        <w:tc>
          <w:tcPr>
            <w:tcW w:w="727" w:type="pct"/>
            <w:vAlign w:val="center"/>
          </w:tcPr>
          <w:p w14:paraId="67C7445E">
            <w:pPr>
              <w:rPr>
                <w:rFonts w:hint="eastAsia" w:ascii="仿宋_GB2312" w:hAnsi="仿宋_GB2312" w:eastAsia="仿宋_GB2312" w:cs="仿宋_GB2312"/>
                <w:szCs w:val="21"/>
              </w:rPr>
            </w:pPr>
            <w:r>
              <w:rPr>
                <w:rFonts w:hint="eastAsia" w:ascii="仿宋_GB2312" w:hAnsi="仿宋_GB2312" w:eastAsia="仿宋_GB2312" w:cs="仿宋_GB2312"/>
                <w:szCs w:val="21"/>
              </w:rPr>
              <w:t>3.5.5 推动招生与培养联动改革的举措及成效</w:t>
            </w:r>
          </w:p>
        </w:tc>
        <w:tc>
          <w:tcPr>
            <w:tcW w:w="3321" w:type="pct"/>
            <w:vAlign w:val="center"/>
          </w:tcPr>
          <w:p w14:paraId="72E4989D">
            <w:pPr>
              <w:rPr>
                <w:rFonts w:hint="eastAsia" w:ascii="仿宋_GB2312" w:hAnsi="仿宋_GB2312" w:eastAsia="仿宋_GB2312" w:cs="仿宋_GB2312"/>
                <w:szCs w:val="21"/>
              </w:rPr>
            </w:pPr>
            <w:r>
              <w:rPr>
                <w:rFonts w:hint="eastAsia" w:ascii="仿宋_GB2312" w:hAnsi="仿宋_GB2312" w:eastAsia="仿宋_GB2312" w:cs="仿宋_GB2312"/>
                <w:szCs w:val="21"/>
              </w:rPr>
              <w:t>1.学院推动招生与培养联动改革。</w:t>
            </w:r>
          </w:p>
          <w:p w14:paraId="2D4C45CB">
            <w:pPr>
              <w:rPr>
                <w:rFonts w:hint="eastAsia" w:ascii="仿宋_GB2312" w:hAnsi="仿宋_GB2312" w:eastAsia="仿宋_GB2312" w:cs="仿宋_GB2312"/>
                <w:szCs w:val="21"/>
              </w:rPr>
            </w:pPr>
            <w:r>
              <w:rPr>
                <w:rFonts w:hint="eastAsia" w:ascii="仿宋_GB2312" w:hAnsi="仿宋_GB2312" w:eastAsia="仿宋_GB2312" w:cs="仿宋_GB2312"/>
                <w:szCs w:val="21"/>
              </w:rPr>
              <w:t>2.学院第一志愿录取率是否提高，学生的学业成绩、专业能力及综合素质是否有提升。</w:t>
            </w:r>
          </w:p>
        </w:tc>
      </w:tr>
      <w:tr w14:paraId="799EE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482" w:type="pct"/>
            <w:vMerge w:val="continue"/>
            <w:vAlign w:val="center"/>
          </w:tcPr>
          <w:p w14:paraId="147CB14A">
            <w:pPr>
              <w:rPr>
                <w:rFonts w:hint="eastAsia" w:ascii="仿宋_GB2312" w:hAnsi="仿宋_GB2312" w:eastAsia="仿宋_GB2312" w:cs="仿宋_GB2312"/>
                <w:szCs w:val="21"/>
              </w:rPr>
            </w:pPr>
          </w:p>
        </w:tc>
        <w:tc>
          <w:tcPr>
            <w:tcW w:w="470" w:type="pct"/>
            <w:vMerge w:val="continue"/>
            <w:vAlign w:val="center"/>
          </w:tcPr>
          <w:p w14:paraId="0EAA1AE2">
            <w:pPr>
              <w:rPr>
                <w:rFonts w:hint="eastAsia" w:ascii="仿宋_GB2312" w:hAnsi="仿宋_GB2312" w:eastAsia="仿宋_GB2312" w:cs="仿宋_GB2312"/>
                <w:szCs w:val="21"/>
              </w:rPr>
            </w:pPr>
          </w:p>
        </w:tc>
        <w:tc>
          <w:tcPr>
            <w:tcW w:w="727" w:type="pct"/>
            <w:vAlign w:val="center"/>
          </w:tcPr>
          <w:p w14:paraId="2ED61004">
            <w:pPr>
              <w:rPr>
                <w:rFonts w:hint="eastAsia" w:ascii="仿宋_GB2312" w:hAnsi="仿宋_GB2312" w:eastAsia="仿宋_GB2312" w:cs="仿宋_GB2312"/>
                <w:szCs w:val="21"/>
              </w:rPr>
            </w:pPr>
            <w:r>
              <w:rPr>
                <w:rFonts w:hint="eastAsia" w:ascii="仿宋_GB2312" w:hAnsi="仿宋_GB2312" w:eastAsia="仿宋_GB2312" w:cs="仿宋_GB2312"/>
                <w:szCs w:val="21"/>
              </w:rPr>
              <w:t>3.5.6 推动人才培养国际化的具体举措与成效</w:t>
            </w:r>
          </w:p>
        </w:tc>
        <w:tc>
          <w:tcPr>
            <w:tcW w:w="3321" w:type="pct"/>
            <w:vAlign w:val="center"/>
          </w:tcPr>
          <w:p w14:paraId="37F30C93">
            <w:pPr>
              <w:rPr>
                <w:rFonts w:hint="eastAsia" w:ascii="仿宋_GB2312" w:hAnsi="仿宋_GB2312" w:eastAsia="仿宋_GB2312" w:cs="仿宋_GB2312"/>
                <w:szCs w:val="21"/>
              </w:rPr>
            </w:pPr>
            <w:r>
              <w:rPr>
                <w:rFonts w:hint="eastAsia" w:ascii="仿宋_GB2312" w:hAnsi="仿宋_GB2312" w:eastAsia="仿宋_GB2312" w:cs="仿宋_GB2312"/>
                <w:szCs w:val="21"/>
              </w:rPr>
              <w:t>1.学院是否支持学生国内外交流，有何政策措施，实施效果。是否在学生保研、评奖评优时制定政策文件，鼓励学生参加国内外交流。</w:t>
            </w:r>
          </w:p>
          <w:p w14:paraId="2C20906D">
            <w:pPr>
              <w:rPr>
                <w:rFonts w:hint="eastAsia" w:ascii="仿宋_GB2312" w:hAnsi="仿宋_GB2312" w:eastAsia="仿宋_GB2312" w:cs="仿宋_GB2312"/>
                <w:szCs w:val="21"/>
                <w:lang w:eastAsia="zh-CN"/>
              </w:rPr>
            </w:pPr>
            <w:r>
              <w:rPr>
                <w:rFonts w:hint="eastAsia" w:ascii="仿宋_GB2312" w:hAnsi="仿宋_GB2312" w:eastAsia="仿宋_GB2312" w:cs="仿宋_GB2312"/>
                <w:szCs w:val="21"/>
              </w:rPr>
              <w:t>2.学院多举措推动国际交流与合作，与国外（境外）高水平大学开展联合办学、联合培养，推荐优秀学生到国际组织任职、实习，并引进国外优质资源加强本科教学情况</w:t>
            </w:r>
            <w:r>
              <w:rPr>
                <w:rFonts w:hint="eastAsia" w:ascii="仿宋_GB2312" w:hAnsi="仿宋_GB2312" w:eastAsia="仿宋_GB2312" w:cs="仿宋_GB2312"/>
                <w:szCs w:val="21"/>
                <w:lang w:eastAsia="zh-CN"/>
              </w:rPr>
              <w:t>。</w:t>
            </w:r>
            <w:bookmarkStart w:id="0" w:name="_GoBack"/>
            <w:bookmarkEnd w:id="0"/>
          </w:p>
          <w:p w14:paraId="3ED5E238">
            <w:pPr>
              <w:rPr>
                <w:rFonts w:hint="eastAsia" w:ascii="仿宋_GB2312" w:hAnsi="仿宋_GB2312" w:eastAsia="仿宋_GB2312" w:cs="仿宋_GB2312"/>
                <w:szCs w:val="21"/>
              </w:rPr>
            </w:pPr>
            <w:r>
              <w:rPr>
                <w:rFonts w:hint="eastAsia" w:ascii="仿宋_GB2312" w:hAnsi="仿宋_GB2312" w:eastAsia="仿宋_GB2312" w:cs="仿宋_GB2312"/>
                <w:szCs w:val="21"/>
              </w:rPr>
              <w:t>3.学院开展来华留学教育，招收学历教育国际学生，以及来华留学生的培养成效如何。</w:t>
            </w:r>
          </w:p>
        </w:tc>
      </w:tr>
      <w:tr w14:paraId="268D7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482" w:type="pct"/>
            <w:vMerge w:val="continue"/>
            <w:vAlign w:val="center"/>
          </w:tcPr>
          <w:p w14:paraId="3041623B">
            <w:pPr>
              <w:rPr>
                <w:rFonts w:hint="eastAsia" w:ascii="仿宋_GB2312" w:hAnsi="仿宋_GB2312" w:eastAsia="仿宋_GB2312" w:cs="仿宋_GB2312"/>
                <w:szCs w:val="21"/>
              </w:rPr>
            </w:pPr>
          </w:p>
        </w:tc>
        <w:tc>
          <w:tcPr>
            <w:tcW w:w="470" w:type="pct"/>
            <w:vMerge w:val="restart"/>
            <w:vAlign w:val="center"/>
          </w:tcPr>
          <w:p w14:paraId="5762388A">
            <w:pPr>
              <w:rPr>
                <w:rFonts w:hint="eastAsia" w:ascii="仿宋_GB2312" w:hAnsi="仿宋_GB2312" w:eastAsia="仿宋_GB2312" w:cs="仿宋_GB2312"/>
                <w:szCs w:val="21"/>
              </w:rPr>
            </w:pPr>
            <w:r>
              <w:rPr>
                <w:rFonts w:hint="eastAsia" w:ascii="仿宋_GB2312" w:hAnsi="仿宋_GB2312" w:eastAsia="仿宋_GB2312" w:cs="仿宋_GB2312"/>
                <w:szCs w:val="21"/>
              </w:rPr>
              <w:t>3.6 就业与创新创业教育</w:t>
            </w:r>
          </w:p>
        </w:tc>
        <w:tc>
          <w:tcPr>
            <w:tcW w:w="727" w:type="pct"/>
            <w:vAlign w:val="center"/>
          </w:tcPr>
          <w:p w14:paraId="6E1FEE6E">
            <w:pPr>
              <w:rPr>
                <w:rFonts w:hint="eastAsia" w:ascii="仿宋_GB2312" w:hAnsi="仿宋_GB2312" w:eastAsia="仿宋_GB2312" w:cs="仿宋_GB2312"/>
                <w:szCs w:val="21"/>
              </w:rPr>
            </w:pPr>
            <w:r>
              <w:rPr>
                <w:rFonts w:hint="eastAsia" w:ascii="仿宋_GB2312" w:hAnsi="仿宋_GB2312" w:eastAsia="仿宋_GB2312" w:cs="仿宋_GB2312"/>
                <w:szCs w:val="21"/>
              </w:rPr>
              <w:t>3.6.1 将创新创业教育贯穿于人才培养全过程、融入专业教育的举措及成效</w:t>
            </w:r>
          </w:p>
        </w:tc>
        <w:tc>
          <w:tcPr>
            <w:tcW w:w="3321" w:type="pct"/>
            <w:vAlign w:val="center"/>
          </w:tcPr>
          <w:p w14:paraId="25F2CAE0">
            <w:pPr>
              <w:rPr>
                <w:rFonts w:hint="eastAsia" w:ascii="仿宋_GB2312" w:hAnsi="仿宋_GB2312" w:eastAsia="仿宋_GB2312" w:cs="仿宋_GB2312"/>
                <w:szCs w:val="21"/>
              </w:rPr>
            </w:pPr>
            <w:r>
              <w:rPr>
                <w:rFonts w:hint="eastAsia" w:ascii="仿宋_GB2312" w:hAnsi="仿宋_GB2312" w:eastAsia="仿宋_GB2312" w:cs="仿宋_GB2312"/>
                <w:szCs w:val="21"/>
              </w:rPr>
              <w:t>1.学院是否将创新创业教育贯穿于人才培养全过程，构建学院创新创业能力训练体系，鼓励学生积极参与创新创业活动，选树就业及创新创业典型，积极开展产教融合。</w:t>
            </w:r>
          </w:p>
          <w:p w14:paraId="7499D6D0">
            <w:pPr>
              <w:rPr>
                <w:rFonts w:hint="eastAsia" w:ascii="仿宋_GB2312" w:hAnsi="仿宋_GB2312" w:eastAsia="仿宋_GB2312" w:cs="仿宋_GB2312"/>
                <w:szCs w:val="21"/>
              </w:rPr>
            </w:pPr>
            <w:r>
              <w:rPr>
                <w:rFonts w:hint="eastAsia" w:ascii="仿宋_GB2312" w:hAnsi="仿宋_GB2312" w:eastAsia="仿宋_GB2312" w:cs="仿宋_GB2312"/>
                <w:szCs w:val="21"/>
              </w:rPr>
              <w:t>2.学院积极鼓励学生参加国家及省部级各类学科竞赛措施和举措，成效如何。</w:t>
            </w:r>
          </w:p>
        </w:tc>
      </w:tr>
      <w:tr w14:paraId="59F4A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482" w:type="pct"/>
            <w:vMerge w:val="continue"/>
            <w:vAlign w:val="center"/>
          </w:tcPr>
          <w:p w14:paraId="50AEE3D3">
            <w:pPr>
              <w:rPr>
                <w:rFonts w:hint="eastAsia" w:ascii="仿宋_GB2312" w:hAnsi="仿宋_GB2312" w:eastAsia="仿宋_GB2312" w:cs="仿宋_GB2312"/>
                <w:szCs w:val="21"/>
              </w:rPr>
            </w:pPr>
          </w:p>
        </w:tc>
        <w:tc>
          <w:tcPr>
            <w:tcW w:w="470" w:type="pct"/>
            <w:vMerge w:val="continue"/>
            <w:vAlign w:val="center"/>
          </w:tcPr>
          <w:p w14:paraId="6066E321">
            <w:pPr>
              <w:rPr>
                <w:rFonts w:hint="eastAsia" w:ascii="仿宋_GB2312" w:hAnsi="仿宋_GB2312" w:eastAsia="仿宋_GB2312" w:cs="仿宋_GB2312"/>
                <w:szCs w:val="21"/>
              </w:rPr>
            </w:pPr>
          </w:p>
        </w:tc>
        <w:tc>
          <w:tcPr>
            <w:tcW w:w="727" w:type="pct"/>
            <w:vAlign w:val="center"/>
          </w:tcPr>
          <w:p w14:paraId="662449A5">
            <w:pPr>
              <w:rPr>
                <w:rFonts w:hint="eastAsia" w:ascii="仿宋_GB2312" w:hAnsi="仿宋_GB2312" w:eastAsia="仿宋_GB2312" w:cs="仿宋_GB2312"/>
                <w:szCs w:val="21"/>
              </w:rPr>
            </w:pPr>
            <w:r>
              <w:rPr>
                <w:rFonts w:hint="eastAsia" w:ascii="仿宋_GB2312" w:hAnsi="仿宋_GB2312" w:eastAsia="仿宋_GB2312" w:cs="仿宋_GB2312"/>
                <w:szCs w:val="21"/>
              </w:rPr>
              <w:t>3.6.2 以高水平的科学研究提高学生创新创业能力的情况</w:t>
            </w:r>
          </w:p>
        </w:tc>
        <w:tc>
          <w:tcPr>
            <w:tcW w:w="3321" w:type="pct"/>
            <w:vAlign w:val="center"/>
          </w:tcPr>
          <w:p w14:paraId="1C6A6368">
            <w:pPr>
              <w:rPr>
                <w:rFonts w:hint="eastAsia" w:ascii="仿宋_GB2312" w:hAnsi="仿宋_GB2312" w:eastAsia="仿宋_GB2312" w:cs="仿宋_GB2312"/>
                <w:szCs w:val="21"/>
              </w:rPr>
            </w:pPr>
            <w:r>
              <w:rPr>
                <w:rFonts w:hint="eastAsia" w:ascii="仿宋_GB2312" w:hAnsi="仿宋_GB2312" w:eastAsia="仿宋_GB2312" w:cs="仿宋_GB2312"/>
                <w:szCs w:val="21"/>
              </w:rPr>
              <w:t>1.学院能够将高水平的科学研究应用在提升学生创新创业能力方面，能够以重要研究平台和重点项目支持本科生开展创新创业活动，引导学生尽早参与和融入科研和创新创业项目。</w:t>
            </w:r>
          </w:p>
          <w:p w14:paraId="50AFA959">
            <w:pPr>
              <w:rPr>
                <w:rFonts w:hint="eastAsia" w:ascii="仿宋_GB2312" w:hAnsi="仿宋_GB2312" w:eastAsia="仿宋_GB2312" w:cs="仿宋_GB2312"/>
                <w:szCs w:val="21"/>
              </w:rPr>
            </w:pPr>
            <w:r>
              <w:rPr>
                <w:rFonts w:hint="eastAsia" w:ascii="仿宋_GB2312" w:hAnsi="仿宋_GB2312" w:eastAsia="仿宋_GB2312" w:cs="仿宋_GB2312"/>
                <w:szCs w:val="21"/>
              </w:rPr>
              <w:t>2.学院学生论文发表和获批国家专利的数量。</w:t>
            </w:r>
          </w:p>
        </w:tc>
      </w:tr>
      <w:tr w14:paraId="26236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8" w:hRule="atLeast"/>
          <w:jc w:val="center"/>
        </w:trPr>
        <w:tc>
          <w:tcPr>
            <w:tcW w:w="482" w:type="pct"/>
            <w:vMerge w:val="continue"/>
            <w:vAlign w:val="center"/>
          </w:tcPr>
          <w:p w14:paraId="7CDF3CE8">
            <w:pPr>
              <w:rPr>
                <w:rFonts w:hint="eastAsia" w:ascii="仿宋_GB2312" w:hAnsi="仿宋_GB2312" w:eastAsia="仿宋_GB2312" w:cs="仿宋_GB2312"/>
                <w:szCs w:val="21"/>
              </w:rPr>
            </w:pPr>
          </w:p>
        </w:tc>
        <w:tc>
          <w:tcPr>
            <w:tcW w:w="470" w:type="pct"/>
            <w:vMerge w:val="continue"/>
            <w:vAlign w:val="center"/>
          </w:tcPr>
          <w:p w14:paraId="1B309009">
            <w:pPr>
              <w:rPr>
                <w:rFonts w:hint="eastAsia" w:ascii="仿宋_GB2312" w:hAnsi="仿宋_GB2312" w:eastAsia="仿宋_GB2312" w:cs="仿宋_GB2312"/>
                <w:szCs w:val="21"/>
              </w:rPr>
            </w:pPr>
          </w:p>
        </w:tc>
        <w:tc>
          <w:tcPr>
            <w:tcW w:w="727" w:type="pct"/>
            <w:vAlign w:val="center"/>
          </w:tcPr>
          <w:p w14:paraId="31127792">
            <w:pPr>
              <w:rPr>
                <w:rFonts w:hint="eastAsia" w:ascii="仿宋_GB2312" w:hAnsi="仿宋_GB2312" w:eastAsia="仿宋_GB2312" w:cs="仿宋_GB2312"/>
                <w:szCs w:val="21"/>
              </w:rPr>
            </w:pPr>
            <w:r>
              <w:rPr>
                <w:rFonts w:hint="eastAsia" w:ascii="仿宋_GB2312" w:hAnsi="仿宋_GB2312" w:eastAsia="仿宋_GB2312" w:cs="仿宋_GB2312"/>
                <w:szCs w:val="21"/>
              </w:rPr>
              <w:t>3.6.3 开展大学生职业生涯规划教育的举措及成效</w:t>
            </w:r>
          </w:p>
        </w:tc>
        <w:tc>
          <w:tcPr>
            <w:tcW w:w="3321" w:type="pct"/>
            <w:vAlign w:val="center"/>
          </w:tcPr>
          <w:p w14:paraId="647E2363">
            <w:pPr>
              <w:rPr>
                <w:rFonts w:hint="eastAsia" w:ascii="仿宋_GB2312" w:hAnsi="仿宋_GB2312" w:eastAsia="仿宋_GB2312" w:cs="仿宋_GB2312"/>
                <w:szCs w:val="21"/>
              </w:rPr>
            </w:pPr>
            <w:r>
              <w:rPr>
                <w:rFonts w:hint="eastAsia" w:ascii="仿宋_GB2312" w:hAnsi="仿宋_GB2312" w:eastAsia="仿宋_GB2312" w:cs="仿宋_GB2312"/>
                <w:szCs w:val="21"/>
              </w:rPr>
              <w:t>1.学院是否针对不同学生群体分层分类开展就业指导，是否实施访企拓岗促就业行动，做好校企人才供需对接。</w:t>
            </w:r>
          </w:p>
          <w:p w14:paraId="047EA013">
            <w:pPr>
              <w:rPr>
                <w:rFonts w:hint="eastAsia" w:ascii="仿宋_GB2312" w:hAnsi="仿宋_GB2312" w:eastAsia="仿宋_GB2312" w:cs="仿宋_GB2312"/>
                <w:szCs w:val="21"/>
              </w:rPr>
            </w:pPr>
            <w:r>
              <w:rPr>
                <w:rFonts w:hint="eastAsia" w:ascii="仿宋_GB2312" w:hAnsi="仿宋_GB2312" w:eastAsia="仿宋_GB2312" w:cs="仿宋_GB2312"/>
                <w:szCs w:val="21"/>
              </w:rPr>
              <w:t>2.学院开展大学生职业生涯规划教育成效好，学生对就业指导与服务满意度高。</w:t>
            </w:r>
          </w:p>
          <w:p w14:paraId="29D5B77F">
            <w:pPr>
              <w:rPr>
                <w:rFonts w:hint="eastAsia" w:ascii="仿宋_GB2312" w:hAnsi="仿宋_GB2312" w:eastAsia="仿宋_GB2312" w:cs="仿宋_GB2312"/>
                <w:szCs w:val="21"/>
              </w:rPr>
            </w:pPr>
            <w:r>
              <w:rPr>
                <w:rFonts w:hint="eastAsia" w:ascii="仿宋_GB2312" w:hAnsi="仿宋_GB2312" w:eastAsia="仿宋_GB2312" w:cs="仿宋_GB2312"/>
                <w:szCs w:val="21"/>
              </w:rPr>
              <w:t>3.学院是否采取多项措施提高就业率与就业质量，引导毕业生到国家最需要的地方与岗位工作。</w:t>
            </w:r>
          </w:p>
          <w:p w14:paraId="76AE29AA">
            <w:pPr>
              <w:rPr>
                <w:rFonts w:hint="eastAsia" w:ascii="仿宋_GB2312" w:hAnsi="仿宋_GB2312" w:eastAsia="仿宋_GB2312" w:cs="仿宋_GB2312"/>
                <w:szCs w:val="21"/>
              </w:rPr>
            </w:pPr>
            <w:r>
              <w:rPr>
                <w:rFonts w:hint="eastAsia" w:ascii="仿宋_GB2312" w:hAnsi="仿宋_GB2312" w:eastAsia="仿宋_GB2312" w:cs="仿宋_GB2312"/>
                <w:szCs w:val="21"/>
              </w:rPr>
              <w:t>4.毕业生在社会特别是专业领域的发展较好，对学院培养满意度高。</w:t>
            </w:r>
          </w:p>
          <w:p w14:paraId="790857E7">
            <w:pPr>
              <w:rPr>
                <w:rFonts w:hint="eastAsia" w:ascii="仿宋_GB2312" w:hAnsi="仿宋_GB2312" w:eastAsia="仿宋_GB2312" w:cs="仿宋_GB2312"/>
                <w:szCs w:val="21"/>
              </w:rPr>
            </w:pPr>
            <w:r>
              <w:rPr>
                <w:rFonts w:hint="eastAsia" w:ascii="仿宋_GB2312" w:hAnsi="仿宋_GB2312" w:eastAsia="仿宋_GB2312" w:cs="仿宋_GB2312"/>
                <w:szCs w:val="21"/>
              </w:rPr>
              <w:t>5.学院建立毕业生跟踪调查机制，建立用人单位对毕业生的评价机制情况。</w:t>
            </w:r>
          </w:p>
        </w:tc>
      </w:tr>
      <w:tr w14:paraId="20AD6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8" w:hRule="atLeast"/>
          <w:jc w:val="center"/>
        </w:trPr>
        <w:tc>
          <w:tcPr>
            <w:tcW w:w="482" w:type="pct"/>
            <w:vAlign w:val="center"/>
          </w:tcPr>
          <w:p w14:paraId="3EA3B2AF">
            <w:pPr>
              <w:rPr>
                <w:rFonts w:hint="eastAsia" w:ascii="仿宋_GB2312" w:hAnsi="仿宋_GB2312" w:eastAsia="仿宋_GB2312" w:cs="仿宋_GB2312"/>
                <w:szCs w:val="21"/>
              </w:rPr>
            </w:pPr>
            <w:r>
              <w:rPr>
                <w:rFonts w:hint="eastAsia" w:ascii="仿宋_GB2312" w:hAnsi="仿宋_GB2312" w:eastAsia="仿宋_GB2312" w:cs="仿宋_GB2312"/>
                <w:szCs w:val="21"/>
              </w:rPr>
              <w:t>4.教育教学综合改革</w:t>
            </w:r>
          </w:p>
        </w:tc>
        <w:tc>
          <w:tcPr>
            <w:tcW w:w="1197" w:type="pct"/>
            <w:gridSpan w:val="2"/>
            <w:vAlign w:val="center"/>
          </w:tcPr>
          <w:p w14:paraId="4928961F">
            <w:pPr>
              <w:rPr>
                <w:rFonts w:hint="eastAsia" w:ascii="仿宋_GB2312" w:hAnsi="仿宋_GB2312" w:eastAsia="仿宋_GB2312" w:cs="仿宋_GB2312"/>
                <w:szCs w:val="21"/>
              </w:rPr>
            </w:pPr>
            <w:r>
              <w:rPr>
                <w:rFonts w:hint="eastAsia" w:ascii="仿宋_GB2312" w:hAnsi="仿宋_GB2312" w:eastAsia="仿宋_GB2312" w:cs="仿宋_GB2312"/>
                <w:szCs w:val="21"/>
              </w:rPr>
              <w:t>学院系统性、整体性、前瞻性、协同性的本科教育教学综合改革与创新实践，且在国际上具有一定代表性</w:t>
            </w:r>
          </w:p>
        </w:tc>
        <w:tc>
          <w:tcPr>
            <w:tcW w:w="3321" w:type="pct"/>
            <w:vAlign w:val="center"/>
          </w:tcPr>
          <w:p w14:paraId="28EFB9CE">
            <w:pPr>
              <w:rPr>
                <w:rFonts w:hint="eastAsia" w:ascii="仿宋_GB2312" w:hAnsi="仿宋_GB2312" w:eastAsia="仿宋_GB2312" w:cs="仿宋_GB2312"/>
                <w:szCs w:val="21"/>
              </w:rPr>
            </w:pPr>
            <w:r>
              <w:rPr>
                <w:rFonts w:hint="eastAsia" w:ascii="仿宋_GB2312" w:hAnsi="仿宋_GB2312" w:eastAsia="仿宋_GB2312" w:cs="仿宋_GB2312"/>
                <w:szCs w:val="21"/>
              </w:rPr>
              <w:t>学院在长期办学过程中积淀形成的、本学院特有的教学特色。围绕本科教育教学综合改革和创新实践，双一流本科人才培养所开展的包括人才培养体系构建、人才培养模式改革、体制机制创新、资源平台建设等。特色应当对优化人才培养过程，提高教学质量作用大，效果显著。特色有一定的稳定性并应在社会上有一定影响、得到公认。特色可体现在不同方面：如治学方略、办学观念、办学思路；科学先进的教学管理制度、运行机制；教育模式、人才特点；课程体系、教学方法以及解决教改中的重点问题等方面。</w:t>
            </w:r>
          </w:p>
        </w:tc>
      </w:tr>
      <w:tr w14:paraId="5F28E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jc w:val="center"/>
        </w:trPr>
        <w:tc>
          <w:tcPr>
            <w:tcW w:w="482" w:type="pct"/>
            <w:vMerge w:val="restart"/>
            <w:vAlign w:val="center"/>
          </w:tcPr>
          <w:p w14:paraId="184F8A0E">
            <w:pPr>
              <w:rPr>
                <w:rFonts w:hint="eastAsia" w:ascii="仿宋_GB2312" w:hAnsi="仿宋_GB2312" w:eastAsia="仿宋_GB2312" w:cs="仿宋_GB2312"/>
                <w:szCs w:val="21"/>
              </w:rPr>
            </w:pPr>
            <w:r>
              <w:rPr>
                <w:rFonts w:hint="eastAsia" w:ascii="仿宋_GB2312" w:hAnsi="仿宋_GB2312" w:eastAsia="仿宋_GB2312" w:cs="仿宋_GB2312"/>
                <w:szCs w:val="21"/>
              </w:rPr>
              <w:t>5.培养过程</w:t>
            </w:r>
          </w:p>
        </w:tc>
        <w:tc>
          <w:tcPr>
            <w:tcW w:w="1197" w:type="pct"/>
            <w:gridSpan w:val="2"/>
            <w:vAlign w:val="center"/>
          </w:tcPr>
          <w:p w14:paraId="1450E193">
            <w:pPr>
              <w:rPr>
                <w:rFonts w:hint="eastAsia" w:ascii="仿宋_GB2312" w:hAnsi="仿宋_GB2312" w:eastAsia="仿宋_GB2312" w:cs="仿宋_GB2312"/>
                <w:szCs w:val="21"/>
              </w:rPr>
            </w:pPr>
            <w:r>
              <w:rPr>
                <w:rFonts w:hint="eastAsia" w:ascii="仿宋_GB2312" w:hAnsi="仿宋_GB2312" w:eastAsia="仿宋_GB2312" w:cs="仿宋_GB2312"/>
                <w:szCs w:val="21"/>
              </w:rPr>
              <w:t>5.1培养方案</w:t>
            </w:r>
          </w:p>
        </w:tc>
        <w:tc>
          <w:tcPr>
            <w:tcW w:w="3321" w:type="pct"/>
            <w:vAlign w:val="center"/>
          </w:tcPr>
          <w:p w14:paraId="1AEA484F">
            <w:pPr>
              <w:rPr>
                <w:rFonts w:hint="eastAsia" w:ascii="仿宋_GB2312" w:hAnsi="仿宋_GB2312" w:eastAsia="仿宋_GB2312" w:cs="仿宋_GB2312"/>
                <w:szCs w:val="21"/>
                <w:lang w:eastAsia="zh-CN"/>
              </w:rPr>
            </w:pPr>
            <w:r>
              <w:rPr>
                <w:rFonts w:hint="eastAsia" w:ascii="仿宋_GB2312" w:hAnsi="仿宋_GB2312" w:eastAsia="仿宋_GB2312" w:cs="仿宋_GB2312"/>
                <w:szCs w:val="21"/>
              </w:rPr>
              <w:t>1.培养目标符合学院定位、适应社会经济发展需要、体现学生德智体美劳全面发展情况</w:t>
            </w:r>
            <w:r>
              <w:rPr>
                <w:rFonts w:hint="eastAsia" w:ascii="仿宋_GB2312" w:hAnsi="仿宋_GB2312" w:eastAsia="仿宋_GB2312" w:cs="仿宋_GB2312"/>
                <w:szCs w:val="21"/>
                <w:lang w:eastAsia="zh-CN"/>
              </w:rPr>
              <w:t>。</w:t>
            </w:r>
          </w:p>
          <w:p w14:paraId="32732476">
            <w:pPr>
              <w:rPr>
                <w:rFonts w:hint="eastAsia" w:ascii="仿宋_GB2312" w:hAnsi="仿宋_GB2312" w:eastAsia="仿宋_GB2312" w:cs="仿宋_GB2312"/>
                <w:szCs w:val="21"/>
                <w:lang w:eastAsia="zh-CN"/>
              </w:rPr>
            </w:pPr>
            <w:r>
              <w:rPr>
                <w:rFonts w:hint="eastAsia" w:ascii="仿宋_GB2312" w:hAnsi="仿宋_GB2312" w:eastAsia="仿宋_GB2312" w:cs="仿宋_GB2312"/>
                <w:szCs w:val="21"/>
              </w:rPr>
              <w:t>2.培养方案符合国家专业类标准、体现产出导向理念情况</w:t>
            </w:r>
            <w:r>
              <w:rPr>
                <w:rFonts w:hint="eastAsia" w:ascii="仿宋_GB2312" w:hAnsi="仿宋_GB2312" w:eastAsia="仿宋_GB2312" w:cs="仿宋_GB2312"/>
                <w:szCs w:val="21"/>
                <w:lang w:eastAsia="zh-CN"/>
              </w:rPr>
              <w:t>。</w:t>
            </w:r>
          </w:p>
          <w:p w14:paraId="551D3E34">
            <w:pPr>
              <w:rPr>
                <w:rFonts w:hint="eastAsia" w:ascii="仿宋_GB2312" w:hAnsi="仿宋_GB2312" w:eastAsia="仿宋_GB2312" w:cs="仿宋_GB2312"/>
                <w:szCs w:val="21"/>
                <w:lang w:eastAsia="zh-CN"/>
              </w:rPr>
            </w:pPr>
            <w:r>
              <w:rPr>
                <w:rFonts w:hint="eastAsia" w:ascii="仿宋_GB2312" w:hAnsi="仿宋_GB2312" w:eastAsia="仿宋_GB2312" w:cs="仿宋_GB2312"/>
                <w:szCs w:val="21"/>
              </w:rPr>
              <w:t>3.培养方案强化理论基础、突出科教融合、注重培养学生创新能力情况</w:t>
            </w:r>
            <w:r>
              <w:rPr>
                <w:rFonts w:hint="eastAsia" w:ascii="仿宋_GB2312" w:hAnsi="仿宋_GB2312" w:eastAsia="仿宋_GB2312" w:cs="仿宋_GB2312"/>
                <w:szCs w:val="21"/>
                <w:lang w:eastAsia="zh-CN"/>
              </w:rPr>
              <w:t>。</w:t>
            </w:r>
          </w:p>
        </w:tc>
      </w:tr>
      <w:tr w14:paraId="117F5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3" w:hRule="atLeast"/>
          <w:jc w:val="center"/>
        </w:trPr>
        <w:tc>
          <w:tcPr>
            <w:tcW w:w="482" w:type="pct"/>
            <w:vMerge w:val="continue"/>
            <w:vAlign w:val="center"/>
          </w:tcPr>
          <w:p w14:paraId="722746EB">
            <w:pPr>
              <w:rPr>
                <w:rFonts w:hint="eastAsia" w:ascii="仿宋_GB2312" w:hAnsi="仿宋_GB2312" w:eastAsia="仿宋_GB2312" w:cs="仿宋_GB2312"/>
                <w:szCs w:val="21"/>
              </w:rPr>
            </w:pPr>
          </w:p>
        </w:tc>
        <w:tc>
          <w:tcPr>
            <w:tcW w:w="1197" w:type="pct"/>
            <w:gridSpan w:val="2"/>
            <w:vAlign w:val="center"/>
          </w:tcPr>
          <w:p w14:paraId="4319954E">
            <w:pPr>
              <w:rPr>
                <w:rFonts w:hint="eastAsia" w:ascii="仿宋_GB2312" w:hAnsi="仿宋_GB2312" w:eastAsia="仿宋_GB2312" w:cs="仿宋_GB2312"/>
                <w:szCs w:val="21"/>
              </w:rPr>
            </w:pPr>
            <w:r>
              <w:rPr>
                <w:rFonts w:hint="eastAsia" w:ascii="仿宋_GB2312" w:hAnsi="仿宋_GB2312" w:eastAsia="仿宋_GB2312" w:cs="仿宋_GB2312"/>
                <w:szCs w:val="21"/>
              </w:rPr>
              <w:t>5.2 专业建设</w:t>
            </w:r>
          </w:p>
        </w:tc>
        <w:tc>
          <w:tcPr>
            <w:tcW w:w="3321" w:type="pct"/>
            <w:vAlign w:val="center"/>
          </w:tcPr>
          <w:p w14:paraId="0B411AD0">
            <w:pPr>
              <w:rPr>
                <w:rFonts w:hint="eastAsia" w:ascii="仿宋_GB2312" w:hAnsi="仿宋_GB2312" w:eastAsia="仿宋_GB2312" w:cs="仿宋_GB2312"/>
                <w:szCs w:val="21"/>
                <w:lang w:eastAsia="zh-CN"/>
              </w:rPr>
            </w:pPr>
            <w:r>
              <w:rPr>
                <w:rFonts w:hint="eastAsia" w:ascii="仿宋_GB2312" w:hAnsi="仿宋_GB2312" w:eastAsia="仿宋_GB2312" w:cs="仿宋_GB2312"/>
                <w:szCs w:val="21"/>
              </w:rPr>
              <w:t>1.专业设置、专业建设与国家重大发展战略及社会对创新型人才需求的契合情况</w:t>
            </w:r>
            <w:r>
              <w:rPr>
                <w:rFonts w:hint="eastAsia" w:ascii="仿宋_GB2312" w:hAnsi="仿宋_GB2312" w:eastAsia="仿宋_GB2312" w:cs="仿宋_GB2312"/>
                <w:szCs w:val="21"/>
                <w:lang w:eastAsia="zh-CN"/>
              </w:rPr>
              <w:t>。</w:t>
            </w:r>
          </w:p>
          <w:p w14:paraId="32E91F39">
            <w:pPr>
              <w:rPr>
                <w:rFonts w:hint="eastAsia" w:ascii="仿宋_GB2312" w:hAnsi="仿宋_GB2312" w:eastAsia="仿宋_GB2312" w:cs="仿宋_GB2312"/>
                <w:szCs w:val="21"/>
                <w:lang w:eastAsia="zh-CN"/>
              </w:rPr>
            </w:pPr>
            <w:r>
              <w:rPr>
                <w:rFonts w:hint="eastAsia" w:ascii="仿宋_GB2312" w:hAnsi="仿宋_GB2312" w:eastAsia="仿宋_GB2312" w:cs="仿宋_GB2312"/>
                <w:szCs w:val="21"/>
              </w:rPr>
              <w:t>2.围绕国家和区域经济发展需求，建立自主性、灵活性与规范性、稳定性相统一的专业设置管理体系情况</w:t>
            </w:r>
            <w:r>
              <w:rPr>
                <w:rFonts w:hint="eastAsia" w:ascii="仿宋_GB2312" w:hAnsi="仿宋_GB2312" w:eastAsia="仿宋_GB2312" w:cs="仿宋_GB2312"/>
                <w:szCs w:val="21"/>
                <w:lang w:eastAsia="zh-CN"/>
              </w:rPr>
              <w:t>。</w:t>
            </w:r>
          </w:p>
          <w:p w14:paraId="521ED4F0">
            <w:pPr>
              <w:rPr>
                <w:rFonts w:hint="eastAsia" w:ascii="仿宋_GB2312" w:hAnsi="仿宋_GB2312" w:eastAsia="仿宋_GB2312" w:cs="仿宋_GB2312"/>
                <w:szCs w:val="21"/>
                <w:lang w:eastAsia="zh-CN"/>
              </w:rPr>
            </w:pPr>
            <w:r>
              <w:rPr>
                <w:rFonts w:hint="eastAsia" w:ascii="仿宋_GB2312" w:hAnsi="仿宋_GB2312" w:eastAsia="仿宋_GB2312" w:cs="仿宋_GB2312"/>
                <w:szCs w:val="21"/>
              </w:rPr>
              <w:t>3.学院通过主辅修、微专业和双学士学位培养等举措促进复合型人才培养情况</w:t>
            </w:r>
            <w:r>
              <w:rPr>
                <w:rFonts w:hint="eastAsia" w:ascii="仿宋_GB2312" w:hAnsi="仿宋_GB2312" w:eastAsia="仿宋_GB2312" w:cs="仿宋_GB2312"/>
                <w:szCs w:val="21"/>
                <w:lang w:eastAsia="zh-CN"/>
              </w:rPr>
              <w:t>。</w:t>
            </w:r>
          </w:p>
        </w:tc>
      </w:tr>
      <w:tr w14:paraId="59668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482" w:type="pct"/>
            <w:vMerge w:val="continue"/>
            <w:vAlign w:val="center"/>
          </w:tcPr>
          <w:p w14:paraId="61F4C5D0">
            <w:pPr>
              <w:rPr>
                <w:rFonts w:hint="eastAsia" w:ascii="仿宋_GB2312" w:hAnsi="仿宋_GB2312" w:eastAsia="仿宋_GB2312" w:cs="仿宋_GB2312"/>
                <w:szCs w:val="21"/>
              </w:rPr>
            </w:pPr>
          </w:p>
        </w:tc>
        <w:tc>
          <w:tcPr>
            <w:tcW w:w="1197" w:type="pct"/>
            <w:gridSpan w:val="2"/>
            <w:vAlign w:val="center"/>
          </w:tcPr>
          <w:p w14:paraId="0028B091">
            <w:pPr>
              <w:rPr>
                <w:rFonts w:hint="eastAsia" w:ascii="仿宋_GB2312" w:hAnsi="仿宋_GB2312" w:eastAsia="仿宋_GB2312" w:cs="仿宋_GB2312"/>
                <w:szCs w:val="21"/>
              </w:rPr>
            </w:pPr>
            <w:r>
              <w:rPr>
                <w:rFonts w:hint="eastAsia" w:ascii="仿宋_GB2312" w:hAnsi="仿宋_GB2312" w:eastAsia="仿宋_GB2312" w:cs="仿宋_GB2312"/>
                <w:szCs w:val="21"/>
              </w:rPr>
              <w:t>5.3实践教学</w:t>
            </w:r>
          </w:p>
        </w:tc>
        <w:tc>
          <w:tcPr>
            <w:tcW w:w="3321" w:type="pct"/>
            <w:vAlign w:val="center"/>
          </w:tcPr>
          <w:p w14:paraId="7EFD1649">
            <w:pPr>
              <w:rPr>
                <w:rFonts w:hint="eastAsia" w:ascii="仿宋_GB2312" w:hAnsi="仿宋_GB2312" w:eastAsia="仿宋_GB2312" w:cs="仿宋_GB2312"/>
                <w:color w:val="1D2129"/>
                <w:szCs w:val="21"/>
                <w:shd w:val="clear" w:color="auto" w:fill="FFFFFF"/>
                <w:lang w:eastAsia="zh-CN"/>
              </w:rPr>
            </w:pPr>
            <w:r>
              <w:rPr>
                <w:rFonts w:hint="eastAsia" w:ascii="仿宋_GB2312" w:hAnsi="仿宋_GB2312" w:eastAsia="仿宋_GB2312" w:cs="仿宋_GB2312"/>
                <w:color w:val="1D2129"/>
                <w:szCs w:val="21"/>
                <w:shd w:val="clear" w:color="auto" w:fill="FFFFFF"/>
              </w:rPr>
              <w:t>1.强化实践育人、构建实践教学体系、推动实践教学改革情况</w:t>
            </w:r>
            <w:r>
              <w:rPr>
                <w:rFonts w:hint="eastAsia" w:ascii="仿宋_GB2312" w:hAnsi="仿宋_GB2312" w:eastAsia="仿宋_GB2312" w:cs="仿宋_GB2312"/>
                <w:color w:val="1D2129"/>
                <w:szCs w:val="21"/>
                <w:shd w:val="clear" w:color="auto" w:fill="FFFFFF"/>
                <w:lang w:eastAsia="zh-CN"/>
              </w:rPr>
              <w:t>。</w:t>
            </w:r>
          </w:p>
          <w:p w14:paraId="2B1E6EAA">
            <w:pPr>
              <w:rPr>
                <w:rFonts w:hint="eastAsia" w:ascii="仿宋_GB2312" w:hAnsi="仿宋_GB2312" w:eastAsia="仿宋_GB2312" w:cs="仿宋_GB2312"/>
                <w:color w:val="1D2129"/>
                <w:szCs w:val="21"/>
                <w:shd w:val="clear" w:color="auto" w:fill="FFFFFF"/>
                <w:lang w:eastAsia="zh-CN"/>
              </w:rPr>
            </w:pPr>
            <w:r>
              <w:rPr>
                <w:rFonts w:hint="eastAsia" w:ascii="仿宋_GB2312" w:hAnsi="仿宋_GB2312" w:eastAsia="仿宋_GB2312" w:cs="仿宋_GB2312"/>
                <w:color w:val="1D2129"/>
                <w:szCs w:val="21"/>
                <w:shd w:val="clear" w:color="auto" w:fill="FFFFFF"/>
              </w:rPr>
              <w:t>2.学院与科研院所、企业共建科研实践、实习实训基地情况</w:t>
            </w:r>
            <w:r>
              <w:rPr>
                <w:rFonts w:hint="eastAsia" w:ascii="仿宋_GB2312" w:hAnsi="仿宋_GB2312" w:eastAsia="仿宋_GB2312" w:cs="仿宋_GB2312"/>
                <w:color w:val="1D2129"/>
                <w:szCs w:val="21"/>
                <w:shd w:val="clear" w:color="auto" w:fill="FFFFFF"/>
                <w:lang w:eastAsia="zh-CN"/>
              </w:rPr>
              <w:t>。</w:t>
            </w:r>
          </w:p>
          <w:p w14:paraId="50DD71D7">
            <w:pPr>
              <w:rPr>
                <w:rFonts w:hint="eastAsia" w:ascii="仿宋_GB2312" w:hAnsi="仿宋_GB2312" w:eastAsia="仿宋_GB2312" w:cs="仿宋_GB2312"/>
                <w:szCs w:val="21"/>
                <w:lang w:eastAsia="zh-CN"/>
              </w:rPr>
            </w:pPr>
            <w:r>
              <w:rPr>
                <w:rFonts w:hint="eastAsia" w:ascii="仿宋_GB2312" w:hAnsi="仿宋_GB2312" w:eastAsia="仿宋_GB2312" w:cs="仿宋_GB2312"/>
                <w:color w:val="1D2129"/>
                <w:szCs w:val="21"/>
              </w:rPr>
              <w:t>3.毕业论文（设计）选题来自教师专业实践、科研课题情况及完成质量</w:t>
            </w:r>
            <w:r>
              <w:rPr>
                <w:rFonts w:hint="eastAsia" w:ascii="仿宋_GB2312" w:hAnsi="仿宋_GB2312" w:eastAsia="仿宋_GB2312" w:cs="仿宋_GB2312"/>
                <w:color w:val="1D2129"/>
                <w:szCs w:val="21"/>
                <w:lang w:eastAsia="zh-CN"/>
              </w:rPr>
              <w:t>。</w:t>
            </w:r>
          </w:p>
        </w:tc>
      </w:tr>
      <w:tr w14:paraId="439E8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482" w:type="pct"/>
            <w:vMerge w:val="continue"/>
            <w:vAlign w:val="center"/>
          </w:tcPr>
          <w:p w14:paraId="3E55C77E">
            <w:pPr>
              <w:rPr>
                <w:rFonts w:hint="eastAsia" w:ascii="仿宋_GB2312" w:hAnsi="仿宋_GB2312" w:eastAsia="仿宋_GB2312" w:cs="仿宋_GB2312"/>
                <w:szCs w:val="21"/>
              </w:rPr>
            </w:pPr>
          </w:p>
        </w:tc>
        <w:tc>
          <w:tcPr>
            <w:tcW w:w="1197" w:type="pct"/>
            <w:gridSpan w:val="2"/>
            <w:vAlign w:val="center"/>
          </w:tcPr>
          <w:p w14:paraId="083BC066">
            <w:pPr>
              <w:rPr>
                <w:rFonts w:hint="eastAsia" w:ascii="仿宋_GB2312" w:hAnsi="仿宋_GB2312" w:eastAsia="仿宋_GB2312" w:cs="仿宋_GB2312"/>
                <w:color w:val="1D2129"/>
                <w:szCs w:val="21"/>
              </w:rPr>
            </w:pPr>
            <w:r>
              <w:rPr>
                <w:rFonts w:hint="eastAsia" w:ascii="仿宋_GB2312" w:hAnsi="仿宋_GB2312" w:eastAsia="仿宋_GB2312" w:cs="仿宋_GB2312"/>
                <w:szCs w:val="21"/>
              </w:rPr>
              <w:t>5.4课堂教学</w:t>
            </w:r>
          </w:p>
        </w:tc>
        <w:tc>
          <w:tcPr>
            <w:tcW w:w="3321" w:type="pct"/>
            <w:vAlign w:val="center"/>
          </w:tcPr>
          <w:p w14:paraId="61F65C9D">
            <w:pPr>
              <w:rPr>
                <w:rFonts w:hint="eastAsia" w:ascii="仿宋_GB2312" w:hAnsi="仿宋_GB2312" w:eastAsia="仿宋_GB2312" w:cs="仿宋_GB2312"/>
                <w:szCs w:val="21"/>
                <w:lang w:eastAsia="zh-CN"/>
              </w:rPr>
            </w:pPr>
            <w:r>
              <w:rPr>
                <w:rFonts w:hint="eastAsia" w:ascii="仿宋_GB2312" w:hAnsi="仿宋_GB2312" w:eastAsia="仿宋_GB2312" w:cs="仿宋_GB2312"/>
                <w:color w:val="1D2129"/>
                <w:szCs w:val="21"/>
              </w:rPr>
              <w:t>1.实施“以学为中心、以教为主导”的课堂教学，开展以学生学习成果为导向的教学评价情况</w:t>
            </w:r>
            <w:r>
              <w:rPr>
                <w:rFonts w:hint="eastAsia" w:ascii="仿宋_GB2312" w:hAnsi="仿宋_GB2312" w:eastAsia="仿宋_GB2312" w:cs="仿宋_GB2312"/>
                <w:color w:val="1D2129"/>
                <w:szCs w:val="21"/>
                <w:lang w:eastAsia="zh-CN"/>
              </w:rPr>
              <w:t>。</w:t>
            </w:r>
          </w:p>
          <w:p w14:paraId="434BEA19">
            <w:pPr>
              <w:rPr>
                <w:rFonts w:hint="eastAsia" w:ascii="仿宋_GB2312" w:hAnsi="仿宋_GB2312" w:eastAsia="仿宋_GB2312" w:cs="仿宋_GB2312"/>
                <w:szCs w:val="21"/>
                <w:lang w:eastAsia="zh-CN"/>
              </w:rPr>
            </w:pPr>
            <w:r>
              <w:rPr>
                <w:rFonts w:hint="eastAsia" w:ascii="仿宋_GB2312" w:hAnsi="仿宋_GB2312" w:eastAsia="仿宋_GB2312" w:cs="仿宋_GB2312"/>
                <w:color w:val="1D2129"/>
                <w:szCs w:val="21"/>
                <w:shd w:val="clear" w:color="auto" w:fill="FFFFFF"/>
              </w:rPr>
              <w:t>2.推进信息技术与教学过程融合、加强信息化教学环境与资源建设情况</w:t>
            </w:r>
            <w:r>
              <w:rPr>
                <w:rFonts w:hint="eastAsia" w:ascii="仿宋_GB2312" w:hAnsi="仿宋_GB2312" w:eastAsia="仿宋_GB2312" w:cs="仿宋_GB2312"/>
                <w:color w:val="1D2129"/>
                <w:szCs w:val="21"/>
                <w:shd w:val="clear" w:color="auto" w:fill="FFFFFF"/>
                <w:lang w:eastAsia="zh-CN"/>
              </w:rPr>
              <w:t>。</w:t>
            </w:r>
          </w:p>
          <w:p w14:paraId="564BB631">
            <w:pPr>
              <w:rPr>
                <w:rFonts w:hint="eastAsia" w:ascii="仿宋_GB2312" w:hAnsi="仿宋_GB2312" w:eastAsia="仿宋_GB2312" w:cs="仿宋_GB2312"/>
                <w:szCs w:val="21"/>
                <w:lang w:eastAsia="zh-CN"/>
              </w:rPr>
            </w:pPr>
            <w:r>
              <w:rPr>
                <w:rFonts w:hint="eastAsia" w:ascii="仿宋_GB2312" w:hAnsi="仿宋_GB2312" w:eastAsia="仿宋_GB2312" w:cs="仿宋_GB2312"/>
                <w:color w:val="1D2129"/>
                <w:szCs w:val="21"/>
                <w:shd w:val="clear" w:color="auto" w:fill="FFFFFF"/>
              </w:rPr>
              <w:t>3.建立健全教材管理机构和工作制度情况，依照教材审核选用标准和程序选用教材情况；推进马工程重点教材统一使用情况（相关专业）；对教材选用工作出现负面问题的处理情况</w:t>
            </w:r>
            <w:r>
              <w:rPr>
                <w:rFonts w:hint="eastAsia" w:ascii="仿宋_GB2312" w:hAnsi="仿宋_GB2312" w:eastAsia="仿宋_GB2312" w:cs="仿宋_GB2312"/>
                <w:color w:val="1D2129"/>
                <w:szCs w:val="21"/>
                <w:shd w:val="clear" w:color="auto" w:fill="FFFFFF"/>
                <w:lang w:eastAsia="zh-CN"/>
              </w:rPr>
              <w:t>。</w:t>
            </w:r>
          </w:p>
        </w:tc>
      </w:tr>
    </w:tbl>
    <w:p w14:paraId="00C58CB2">
      <w:pPr>
        <w:rPr>
          <w:rFonts w:hint="eastAsia" w:ascii="仿宋_GB2312" w:hAnsi="仿宋_GB2312" w:eastAsia="仿宋_GB2312" w:cs="仿宋_GB2312"/>
          <w:szCs w:val="21"/>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U4NmMyOWY5NDY5M2UzZGJiZTlkYWVkM2I2NDdjZjMifQ=="/>
  </w:docVars>
  <w:rsids>
    <w:rsidRoot w:val="003220F9"/>
    <w:rsid w:val="002E1D42"/>
    <w:rsid w:val="003220F9"/>
    <w:rsid w:val="005862B8"/>
    <w:rsid w:val="00625AEB"/>
    <w:rsid w:val="006D1311"/>
    <w:rsid w:val="008D138C"/>
    <w:rsid w:val="00B00B0B"/>
    <w:rsid w:val="00B869F6"/>
    <w:rsid w:val="00E831AC"/>
    <w:rsid w:val="00FE7C5D"/>
    <w:rsid w:val="01F53F86"/>
    <w:rsid w:val="02CC6425"/>
    <w:rsid w:val="031C69F7"/>
    <w:rsid w:val="0445789A"/>
    <w:rsid w:val="04BD7C89"/>
    <w:rsid w:val="066C5147"/>
    <w:rsid w:val="096133B5"/>
    <w:rsid w:val="0A355F10"/>
    <w:rsid w:val="0A3B4293"/>
    <w:rsid w:val="0A3D797F"/>
    <w:rsid w:val="0B270381"/>
    <w:rsid w:val="0CBA46C1"/>
    <w:rsid w:val="0D4728C2"/>
    <w:rsid w:val="0E3A1D6D"/>
    <w:rsid w:val="0E663A80"/>
    <w:rsid w:val="10B4026F"/>
    <w:rsid w:val="11932B18"/>
    <w:rsid w:val="129C6A4D"/>
    <w:rsid w:val="13450579"/>
    <w:rsid w:val="13F74BF3"/>
    <w:rsid w:val="14AC39FA"/>
    <w:rsid w:val="15527EE1"/>
    <w:rsid w:val="16E9738F"/>
    <w:rsid w:val="17806B72"/>
    <w:rsid w:val="183F5345"/>
    <w:rsid w:val="19B906A4"/>
    <w:rsid w:val="1ADF7664"/>
    <w:rsid w:val="1C33298F"/>
    <w:rsid w:val="1D0E3C82"/>
    <w:rsid w:val="1D5E3AA4"/>
    <w:rsid w:val="1E4F1B17"/>
    <w:rsid w:val="1F264A2D"/>
    <w:rsid w:val="202972A7"/>
    <w:rsid w:val="21AF3686"/>
    <w:rsid w:val="233A1C29"/>
    <w:rsid w:val="24014C67"/>
    <w:rsid w:val="243F5C4A"/>
    <w:rsid w:val="251C7284"/>
    <w:rsid w:val="26A813CF"/>
    <w:rsid w:val="271E703D"/>
    <w:rsid w:val="27FF1BA3"/>
    <w:rsid w:val="29771443"/>
    <w:rsid w:val="29CB7A01"/>
    <w:rsid w:val="2AFE6FEE"/>
    <w:rsid w:val="2C4955AF"/>
    <w:rsid w:val="2ECA3572"/>
    <w:rsid w:val="334D66D7"/>
    <w:rsid w:val="34234D03"/>
    <w:rsid w:val="349018E2"/>
    <w:rsid w:val="353D3B27"/>
    <w:rsid w:val="362E2246"/>
    <w:rsid w:val="368B6AE4"/>
    <w:rsid w:val="36B039E0"/>
    <w:rsid w:val="36D9516D"/>
    <w:rsid w:val="37EC0259"/>
    <w:rsid w:val="3834566E"/>
    <w:rsid w:val="38524F93"/>
    <w:rsid w:val="39D508B4"/>
    <w:rsid w:val="3A886145"/>
    <w:rsid w:val="3AC33028"/>
    <w:rsid w:val="3D103642"/>
    <w:rsid w:val="3F110A7D"/>
    <w:rsid w:val="3F94069D"/>
    <w:rsid w:val="41B24B5E"/>
    <w:rsid w:val="430F539D"/>
    <w:rsid w:val="45500E7B"/>
    <w:rsid w:val="45FB36A1"/>
    <w:rsid w:val="47434CC7"/>
    <w:rsid w:val="47476ADD"/>
    <w:rsid w:val="47C87679"/>
    <w:rsid w:val="49282784"/>
    <w:rsid w:val="4D123792"/>
    <w:rsid w:val="4D4B34DA"/>
    <w:rsid w:val="4F18387B"/>
    <w:rsid w:val="4FF65CD7"/>
    <w:rsid w:val="50566B82"/>
    <w:rsid w:val="50664363"/>
    <w:rsid w:val="52EE56CF"/>
    <w:rsid w:val="544F3F43"/>
    <w:rsid w:val="551C6767"/>
    <w:rsid w:val="57DA6296"/>
    <w:rsid w:val="5B606371"/>
    <w:rsid w:val="5E266935"/>
    <w:rsid w:val="5E802762"/>
    <w:rsid w:val="5F3F57FD"/>
    <w:rsid w:val="5FD11675"/>
    <w:rsid w:val="6486074F"/>
    <w:rsid w:val="65D4762D"/>
    <w:rsid w:val="666E44D5"/>
    <w:rsid w:val="68BB218F"/>
    <w:rsid w:val="69831701"/>
    <w:rsid w:val="6AD46F87"/>
    <w:rsid w:val="6AF87A75"/>
    <w:rsid w:val="6B5E140A"/>
    <w:rsid w:val="6B856DD6"/>
    <w:rsid w:val="6BB87D88"/>
    <w:rsid w:val="6BF9053F"/>
    <w:rsid w:val="6C081D65"/>
    <w:rsid w:val="6C117498"/>
    <w:rsid w:val="6C5163DF"/>
    <w:rsid w:val="6D55593E"/>
    <w:rsid w:val="6D763C73"/>
    <w:rsid w:val="6FDF469F"/>
    <w:rsid w:val="70467B14"/>
    <w:rsid w:val="71774357"/>
    <w:rsid w:val="72153DD4"/>
    <w:rsid w:val="72EF5217"/>
    <w:rsid w:val="73727E59"/>
    <w:rsid w:val="75E81CBF"/>
    <w:rsid w:val="76A65D1D"/>
    <w:rsid w:val="76C314E8"/>
    <w:rsid w:val="76F82249"/>
    <w:rsid w:val="79921895"/>
    <w:rsid w:val="7A9C47CC"/>
    <w:rsid w:val="7AE42B7A"/>
    <w:rsid w:val="7C0875B8"/>
    <w:rsid w:val="7C2E4EC9"/>
    <w:rsid w:val="7D891584"/>
    <w:rsid w:val="7D9F1E09"/>
    <w:rsid w:val="7E2F04C1"/>
    <w:rsid w:val="7E7C2CBC"/>
    <w:rsid w:val="7F146C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 w:type="character" w:customStyle="1" w:styleId="8">
    <w:name w:val="页眉 字符"/>
    <w:basedOn w:val="6"/>
    <w:link w:val="3"/>
    <w:qFormat/>
    <w:uiPriority w:val="0"/>
    <w:rPr>
      <w:rFonts w:asciiTheme="minorHAnsi" w:hAnsiTheme="minorHAnsi" w:eastAsiaTheme="minorEastAsia" w:cstheme="minorBidi"/>
      <w:kern w:val="2"/>
      <w:sz w:val="18"/>
      <w:szCs w:val="18"/>
    </w:rPr>
  </w:style>
  <w:style w:type="character" w:customStyle="1" w:styleId="9">
    <w:name w:val="页脚 字符"/>
    <w:basedOn w:val="6"/>
    <w:link w:val="2"/>
    <w:qFormat/>
    <w:uiPriority w:val="0"/>
    <w:rPr>
      <w:rFonts w:asciiTheme="minorHAnsi" w:hAnsiTheme="minorHAnsi" w:eastAsiaTheme="minorEastAsia" w:cstheme="minorBidi"/>
      <w:kern w:val="2"/>
      <w:sz w:val="18"/>
      <w:szCs w:val="18"/>
    </w:rPr>
  </w:style>
  <w:style w:type="paragraph" w:styleId="10">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8744</Words>
  <Characters>9071</Characters>
  <Lines>66</Lines>
  <Paragraphs>18</Paragraphs>
  <TotalTime>58</TotalTime>
  <ScaleCrop>false</ScaleCrop>
  <LinksUpToDate>false</LinksUpToDate>
  <CharactersWithSpaces>9136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2024-08-31T05:26:00Z</dcterms:created>
  <dc:creator>user</dc:creator>
  <cp:lastModifiedBy>赵佳鑫</cp:lastModifiedBy>
  <cp:lastPrinted>2024-09-05T03:14:00Z</cp:lastPrinted>
  <dcterms:modified xsi:type="dcterms:W3CDTF">2024-10-27T00:46:16Z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A03B9EE5423A44FDA4CEAFA2F90E7AA4_12</vt:lpwstr>
  </property>
</Properties>
</file>